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DEB" w:rsidRPr="00A17A88" w:rsidRDefault="00993DEB" w:rsidP="00993DEB">
      <w:pPr>
        <w:jc w:val="center"/>
        <w:rPr>
          <w:rFonts w:cs="Arial"/>
          <w:b/>
        </w:rPr>
      </w:pPr>
      <w:r>
        <w:rPr>
          <w:rFonts w:cs="Arial"/>
          <w:b/>
          <w:noProof/>
          <w:lang w:eastAsia="de-DE"/>
        </w:rPr>
        <w:drawing>
          <wp:anchor distT="0" distB="0" distL="114300" distR="114300" simplePos="0" relativeHeight="251658240" behindDoc="1" locked="0" layoutInCell="1" allowOverlap="1" wp14:anchorId="35D319AC" wp14:editId="7E8CB253">
            <wp:simplePos x="0" y="0"/>
            <wp:positionH relativeFrom="column">
              <wp:posOffset>5349240</wp:posOffset>
            </wp:positionH>
            <wp:positionV relativeFrom="page">
              <wp:posOffset>588645</wp:posOffset>
            </wp:positionV>
            <wp:extent cx="487680" cy="389890"/>
            <wp:effectExtent l="0" t="0" r="7620" b="0"/>
            <wp:wrapTight wrapText="bothSides">
              <wp:wrapPolygon edited="0">
                <wp:start x="0" y="0"/>
                <wp:lineTo x="0" y="20052"/>
                <wp:lineTo x="21094" y="20052"/>
                <wp:lineTo x="2109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389890"/>
                    </a:xfrm>
                    <a:prstGeom prst="rect">
                      <a:avLst/>
                    </a:prstGeom>
                    <a:noFill/>
                  </pic:spPr>
                </pic:pic>
              </a:graphicData>
            </a:graphic>
          </wp:anchor>
        </w:drawing>
      </w:r>
      <w:r w:rsidRPr="00A17A88">
        <w:rPr>
          <w:rFonts w:cs="Arial"/>
          <w:b/>
        </w:rPr>
        <w:t>Erzbischöfliches Generalvikariat</w:t>
      </w:r>
    </w:p>
    <w:p w:rsidR="00993DEB" w:rsidRPr="00CA2B48" w:rsidRDefault="00363AD7" w:rsidP="00993DEB">
      <w:pPr>
        <w:pBdr>
          <w:top w:val="single" w:sz="4" w:space="1" w:color="auto"/>
          <w:left w:val="single" w:sz="4" w:space="4" w:color="auto"/>
          <w:bottom w:val="single" w:sz="4" w:space="1" w:color="auto"/>
          <w:right w:val="single" w:sz="4" w:space="4" w:color="auto"/>
        </w:pBdr>
        <w:shd w:val="pct12" w:color="auto" w:fill="auto"/>
        <w:jc w:val="center"/>
        <w:rPr>
          <w:rStyle w:val="IntensiverVerweis"/>
          <w:color w:val="000000" w:themeColor="text1"/>
          <w:sz w:val="28"/>
        </w:rPr>
      </w:pPr>
      <w:r>
        <w:rPr>
          <w:rStyle w:val="IntensiverVerweis"/>
          <w:color w:val="000000" w:themeColor="text1"/>
          <w:sz w:val="28"/>
        </w:rPr>
        <w:t xml:space="preserve">Bewertung kirchengemeindlicher Gebäude und </w:t>
      </w:r>
      <w:r w:rsidR="004C1C96">
        <w:rPr>
          <w:rStyle w:val="IntensiverVerweis"/>
          <w:color w:val="000000" w:themeColor="text1"/>
          <w:sz w:val="28"/>
        </w:rPr>
        <w:t xml:space="preserve">damit verbundene </w:t>
      </w:r>
      <w:r w:rsidR="00E11CF3">
        <w:rPr>
          <w:rStyle w:val="IntensiverVerweis"/>
          <w:color w:val="000000" w:themeColor="text1"/>
          <w:sz w:val="28"/>
        </w:rPr>
        <w:t>Negative Haushalts</w:t>
      </w:r>
      <w:r>
        <w:rPr>
          <w:rStyle w:val="IntensiverVerweis"/>
          <w:color w:val="000000" w:themeColor="text1"/>
          <w:sz w:val="28"/>
        </w:rPr>
        <w:t xml:space="preserve">ergebnisse aufgrund der Abschreibungen </w:t>
      </w:r>
    </w:p>
    <w:p w:rsidR="00993DEB" w:rsidRPr="00CA2B48" w:rsidRDefault="00993DEB" w:rsidP="00993DEB">
      <w:pPr>
        <w:pBdr>
          <w:top w:val="single" w:sz="4" w:space="1" w:color="auto"/>
          <w:left w:val="single" w:sz="4" w:space="4" w:color="auto"/>
          <w:bottom w:val="single" w:sz="4" w:space="1" w:color="auto"/>
          <w:right w:val="single" w:sz="4" w:space="4" w:color="auto"/>
        </w:pBdr>
        <w:shd w:val="pct12" w:color="auto" w:fill="auto"/>
        <w:jc w:val="center"/>
        <w:rPr>
          <w:rStyle w:val="Fett"/>
        </w:rPr>
      </w:pPr>
      <w:r w:rsidRPr="00CA2B48">
        <w:rPr>
          <w:rStyle w:val="Fett"/>
        </w:rPr>
        <w:t>- Anwendungsfragen (FAQ) -</w:t>
      </w:r>
    </w:p>
    <w:p w:rsidR="009728D1" w:rsidRPr="00363AD7" w:rsidRDefault="00ED740E" w:rsidP="00F27378">
      <w:pPr>
        <w:jc w:val="right"/>
        <w:rPr>
          <w:rFonts w:cs="Arial"/>
          <w:b/>
        </w:rPr>
      </w:pPr>
      <w:r w:rsidRPr="00363AD7">
        <w:rPr>
          <w:rFonts w:cs="Arial"/>
          <w:b/>
        </w:rPr>
        <w:t>Stand</w:t>
      </w:r>
      <w:r w:rsidR="00F27378" w:rsidRPr="00363AD7">
        <w:rPr>
          <w:rFonts w:cs="Arial"/>
          <w:b/>
        </w:rPr>
        <w:t xml:space="preserve">: </w:t>
      </w:r>
      <w:r w:rsidR="007A6B1C">
        <w:rPr>
          <w:rFonts w:cs="Arial"/>
          <w:b/>
        </w:rPr>
        <w:t>31</w:t>
      </w:r>
      <w:r w:rsidR="00363AD7" w:rsidRPr="00363AD7">
        <w:rPr>
          <w:rFonts w:cs="Arial"/>
          <w:b/>
        </w:rPr>
        <w:t>.08</w:t>
      </w:r>
      <w:r w:rsidR="00200E22">
        <w:rPr>
          <w:rFonts w:cs="Arial"/>
          <w:b/>
        </w:rPr>
        <w:t>.2016</w:t>
      </w:r>
    </w:p>
    <w:p w:rsidR="003C68B6" w:rsidRPr="003C68B6" w:rsidRDefault="004C1C96" w:rsidP="004C1C96">
      <w:pPr>
        <w:pBdr>
          <w:top w:val="single" w:sz="4" w:space="1" w:color="auto"/>
          <w:left w:val="single" w:sz="4" w:space="4" w:color="auto"/>
          <w:bottom w:val="single" w:sz="4" w:space="1" w:color="auto"/>
          <w:right w:val="single" w:sz="4" w:space="4" w:color="auto"/>
        </w:pBdr>
        <w:jc w:val="both"/>
        <w:rPr>
          <w:rFonts w:cs="Arial"/>
          <w:b/>
          <w:bCs/>
          <w:u w:val="single"/>
        </w:rPr>
      </w:pPr>
      <w:r>
        <w:rPr>
          <w:rFonts w:cs="Arial"/>
          <w:b/>
          <w:bCs/>
          <w:u w:val="single"/>
        </w:rPr>
        <w:t>Vorbemerkung:</w:t>
      </w:r>
    </w:p>
    <w:p w:rsidR="002B52A9" w:rsidRDefault="002B52A9" w:rsidP="001B35E1">
      <w:pPr>
        <w:pBdr>
          <w:top w:val="single" w:sz="4" w:space="1" w:color="auto"/>
          <w:left w:val="single" w:sz="4" w:space="4" w:color="auto"/>
          <w:bottom w:val="single" w:sz="4" w:space="1" w:color="auto"/>
          <w:right w:val="single" w:sz="4" w:space="4" w:color="auto"/>
        </w:pBdr>
        <w:jc w:val="both"/>
        <w:rPr>
          <w:rFonts w:cs="Arial"/>
          <w:bCs/>
        </w:rPr>
      </w:pPr>
      <w:r>
        <w:rPr>
          <w:rFonts w:cs="Arial"/>
          <w:bCs/>
        </w:rPr>
        <w:t xml:space="preserve">Erstmals für die Haushaltspläne </w:t>
      </w:r>
      <w:r w:rsidR="000F2B27">
        <w:rPr>
          <w:rFonts w:cs="Arial"/>
          <w:bCs/>
        </w:rPr>
        <w:t>des Jahres 2016 ist in vielen Kirchengemeinden eine Bewertung der kirchengemeindlichen Gebäude wie Pfarrhäuser und Pfarrheime erfolgt. Über die Abschreibungen</w:t>
      </w:r>
      <w:r w:rsidR="00081B26">
        <w:rPr>
          <w:rFonts w:cs="Arial"/>
          <w:bCs/>
        </w:rPr>
        <w:t xml:space="preserve"> (</w:t>
      </w:r>
      <w:r w:rsidR="00532CCA">
        <w:rPr>
          <w:rFonts w:cs="Arial"/>
          <w:bCs/>
        </w:rPr>
        <w:t xml:space="preserve">auch </w:t>
      </w:r>
      <w:r w:rsidR="00081B26">
        <w:rPr>
          <w:rFonts w:cs="Arial"/>
          <w:bCs/>
        </w:rPr>
        <w:t>„Absetzung für Abnutzung“/AfA)</w:t>
      </w:r>
      <w:r w:rsidR="000F2B27">
        <w:rPr>
          <w:rFonts w:cs="Arial"/>
          <w:bCs/>
        </w:rPr>
        <w:t xml:space="preserve"> erfolgt der Ausweis des jährlichen Werteverzehrs dieser Gebäude im Haushaltsplan. Viele kirchengemeindliche Haushalte weisen aufgrund dieser Tatsache negative Ergebnisse </w:t>
      </w:r>
      <w:r w:rsidR="00F431F2">
        <w:rPr>
          <w:rFonts w:cs="Arial"/>
          <w:bCs/>
        </w:rPr>
        <w:t xml:space="preserve">im Kirchenhauptbereich </w:t>
      </w:r>
      <w:r w:rsidR="000F2B27">
        <w:rPr>
          <w:rFonts w:cs="Arial"/>
          <w:bCs/>
        </w:rPr>
        <w:t xml:space="preserve">aus. </w:t>
      </w:r>
      <w:r w:rsidR="002C4504">
        <w:rPr>
          <w:rFonts w:cs="Arial"/>
          <w:bCs/>
        </w:rPr>
        <w:t xml:space="preserve">Aus den Kirchengemeinden haben die Gemeindeverbände und uns dazu viele Fragen aber auch sehr viel konstruktive Kritik erreicht. </w:t>
      </w:r>
    </w:p>
    <w:p w:rsidR="003C68B6" w:rsidRDefault="009901C4" w:rsidP="001B35E1">
      <w:pPr>
        <w:pBdr>
          <w:top w:val="single" w:sz="4" w:space="1" w:color="auto"/>
          <w:left w:val="single" w:sz="4" w:space="4" w:color="auto"/>
          <w:bottom w:val="single" w:sz="4" w:space="1" w:color="auto"/>
          <w:right w:val="single" w:sz="4" w:space="4" w:color="auto"/>
        </w:pBdr>
        <w:jc w:val="both"/>
        <w:rPr>
          <w:rFonts w:cs="Arial"/>
          <w:bCs/>
        </w:rPr>
      </w:pPr>
      <w:r>
        <w:rPr>
          <w:rFonts w:cs="Arial"/>
          <w:bCs/>
        </w:rPr>
        <w:t xml:space="preserve">In einer Arbeitsgruppe aus Vertretern der Kirchengemeinden, der Gemeindeverbände und des EGV </w:t>
      </w:r>
      <w:r w:rsidR="000D5FC1">
        <w:rPr>
          <w:rFonts w:cs="Arial"/>
          <w:bCs/>
        </w:rPr>
        <w:t>wurden Antworten erarbeitet. Als Ergebnis ist diese Stellungnahme zu den häufig gestellten Fragen entstanden.</w:t>
      </w:r>
    </w:p>
    <w:p w:rsidR="002C4504" w:rsidRDefault="0052462E" w:rsidP="001B35E1">
      <w:pPr>
        <w:pBdr>
          <w:top w:val="single" w:sz="4" w:space="1" w:color="auto"/>
          <w:left w:val="single" w:sz="4" w:space="4" w:color="auto"/>
          <w:bottom w:val="single" w:sz="4" w:space="1" w:color="auto"/>
          <w:right w:val="single" w:sz="4" w:space="4" w:color="auto"/>
        </w:pBdr>
        <w:jc w:val="both"/>
        <w:rPr>
          <w:rFonts w:cs="Arial"/>
          <w:bCs/>
        </w:rPr>
      </w:pPr>
      <w:r>
        <w:rPr>
          <w:rFonts w:cs="Arial"/>
          <w:bCs/>
        </w:rPr>
        <w:t>Für</w:t>
      </w:r>
      <w:r w:rsidR="00081B26">
        <w:rPr>
          <w:rFonts w:cs="Arial"/>
          <w:bCs/>
        </w:rPr>
        <w:t xml:space="preserve"> individuelle Fragestellungen stehen </w:t>
      </w:r>
      <w:r w:rsidR="004370DE">
        <w:rPr>
          <w:rFonts w:cs="Arial"/>
          <w:bCs/>
        </w:rPr>
        <w:t xml:space="preserve">Ihnen neben Ihren Ansprechpartnern bei den Gemeindeverbänden auch </w:t>
      </w:r>
      <w:r w:rsidR="00081B26">
        <w:rPr>
          <w:rFonts w:cs="Arial"/>
          <w:bCs/>
        </w:rPr>
        <w:t>wir</w:t>
      </w:r>
      <w:r w:rsidR="008F6915">
        <w:rPr>
          <w:rFonts w:cs="Arial"/>
          <w:bCs/>
        </w:rPr>
        <w:t xml:space="preserve"> </w:t>
      </w:r>
      <w:r w:rsidR="00F05247">
        <w:rPr>
          <w:rFonts w:cs="Arial"/>
          <w:bCs/>
        </w:rPr>
        <w:t xml:space="preserve"> </w:t>
      </w:r>
      <w:r w:rsidR="00081B26">
        <w:rPr>
          <w:rFonts w:cs="Arial"/>
          <w:bCs/>
        </w:rPr>
        <w:t>unter der u.g. Kontaktadresse gerne zur Verfügung.</w:t>
      </w:r>
    </w:p>
    <w:p w:rsidR="00363AD7" w:rsidRPr="00363AD7" w:rsidRDefault="003C68B6" w:rsidP="00363AD7">
      <w:pPr>
        <w:pBdr>
          <w:top w:val="single" w:sz="4" w:space="1" w:color="auto"/>
          <w:left w:val="single" w:sz="4" w:space="4" w:color="auto"/>
          <w:bottom w:val="single" w:sz="4" w:space="1" w:color="auto"/>
          <w:right w:val="single" w:sz="4" w:space="4" w:color="auto"/>
        </w:pBdr>
        <w:jc w:val="both"/>
        <w:rPr>
          <w:rFonts w:cs="Arial"/>
          <w:b/>
          <w:bCs/>
          <w:u w:val="single"/>
        </w:rPr>
      </w:pPr>
      <w:r w:rsidRPr="003C68B6">
        <w:rPr>
          <w:rFonts w:cs="Arial"/>
          <w:b/>
          <w:bCs/>
          <w:u w:val="single"/>
        </w:rPr>
        <w:t>Adressatenkreis:</w:t>
      </w:r>
    </w:p>
    <w:p w:rsidR="00363AD7" w:rsidRDefault="00363AD7" w:rsidP="00363AD7">
      <w:pPr>
        <w:pStyle w:val="Listenabsatz"/>
        <w:numPr>
          <w:ilvl w:val="0"/>
          <w:numId w:val="6"/>
        </w:numPr>
        <w:pBdr>
          <w:top w:val="single" w:sz="4" w:space="1" w:color="auto"/>
          <w:left w:val="single" w:sz="4" w:space="4" w:color="auto"/>
          <w:bottom w:val="single" w:sz="4" w:space="1" w:color="auto"/>
          <w:right w:val="single" w:sz="4" w:space="4" w:color="auto"/>
        </w:pBdr>
        <w:spacing w:after="0" w:line="240" w:lineRule="auto"/>
        <w:ind w:left="284" w:hanging="284"/>
        <w:contextualSpacing w:val="0"/>
        <w:jc w:val="both"/>
        <w:rPr>
          <w:rFonts w:cs="Arial"/>
          <w:bCs/>
        </w:rPr>
      </w:pPr>
      <w:r>
        <w:rPr>
          <w:rFonts w:cs="Arial"/>
          <w:bCs/>
        </w:rPr>
        <w:t>Kirchenvorstandsmitglieder</w:t>
      </w:r>
    </w:p>
    <w:p w:rsidR="00516FC0" w:rsidRDefault="00363AD7" w:rsidP="004C1C96">
      <w:pPr>
        <w:pStyle w:val="Listenabsatz"/>
        <w:numPr>
          <w:ilvl w:val="0"/>
          <w:numId w:val="6"/>
        </w:numPr>
        <w:pBdr>
          <w:top w:val="single" w:sz="4" w:space="1" w:color="auto"/>
          <w:left w:val="single" w:sz="4" w:space="4" w:color="auto"/>
          <w:bottom w:val="single" w:sz="4" w:space="1" w:color="auto"/>
          <w:right w:val="single" w:sz="4" w:space="4" w:color="auto"/>
        </w:pBdr>
        <w:spacing w:after="0" w:line="240" w:lineRule="auto"/>
        <w:ind w:left="284" w:hanging="284"/>
        <w:contextualSpacing w:val="0"/>
        <w:jc w:val="both"/>
        <w:rPr>
          <w:rFonts w:cs="Arial"/>
          <w:bCs/>
        </w:rPr>
      </w:pPr>
      <w:r>
        <w:rPr>
          <w:rFonts w:cs="Arial"/>
          <w:bCs/>
        </w:rPr>
        <w:t xml:space="preserve">Mitarbeiter/innen in den </w:t>
      </w:r>
      <w:r w:rsidR="003C68B6">
        <w:rPr>
          <w:rFonts w:cs="Arial"/>
          <w:bCs/>
        </w:rPr>
        <w:t>Gemeindeverbänden</w:t>
      </w:r>
      <w:r>
        <w:rPr>
          <w:rFonts w:cs="Arial"/>
          <w:bCs/>
        </w:rPr>
        <w:t xml:space="preserve"> (Fachbereichsleiter</w:t>
      </w:r>
      <w:r w:rsidR="000F2B27">
        <w:rPr>
          <w:rFonts w:cs="Arial"/>
          <w:bCs/>
        </w:rPr>
        <w:t>/innen</w:t>
      </w:r>
      <w:r>
        <w:rPr>
          <w:rFonts w:cs="Arial"/>
          <w:bCs/>
        </w:rPr>
        <w:t xml:space="preserve"> Finanzen, Haushaltsplaner</w:t>
      </w:r>
      <w:r w:rsidR="000F2B27">
        <w:rPr>
          <w:rFonts w:cs="Arial"/>
          <w:bCs/>
        </w:rPr>
        <w:t>/innen</w:t>
      </w:r>
      <w:r>
        <w:rPr>
          <w:rFonts w:cs="Arial"/>
          <w:bCs/>
        </w:rPr>
        <w:t>, Außendienstmitarbeiter</w:t>
      </w:r>
      <w:r w:rsidR="000F2B27">
        <w:rPr>
          <w:rFonts w:cs="Arial"/>
          <w:bCs/>
        </w:rPr>
        <w:t>/innen</w:t>
      </w:r>
      <w:r>
        <w:rPr>
          <w:rFonts w:cs="Arial"/>
          <w:bCs/>
        </w:rPr>
        <w:t>)</w:t>
      </w:r>
    </w:p>
    <w:p w:rsidR="00516FC0" w:rsidRPr="00516FC0" w:rsidRDefault="00516FC0" w:rsidP="00516FC0">
      <w:pPr>
        <w:pBdr>
          <w:top w:val="single" w:sz="4" w:space="1" w:color="auto"/>
          <w:left w:val="single" w:sz="4" w:space="4" w:color="auto"/>
          <w:bottom w:val="single" w:sz="4" w:space="1" w:color="auto"/>
          <w:right w:val="single" w:sz="4" w:space="4" w:color="auto"/>
        </w:pBdr>
        <w:spacing w:after="0" w:line="240" w:lineRule="auto"/>
        <w:jc w:val="both"/>
        <w:rPr>
          <w:rFonts w:cs="Arial"/>
          <w:bCs/>
        </w:rPr>
      </w:pPr>
    </w:p>
    <w:p w:rsidR="003C68B6" w:rsidRPr="003C68B6" w:rsidRDefault="003C68B6" w:rsidP="004C1C96">
      <w:pPr>
        <w:pBdr>
          <w:top w:val="single" w:sz="4" w:space="1" w:color="auto"/>
          <w:left w:val="single" w:sz="4" w:space="4" w:color="auto"/>
          <w:bottom w:val="single" w:sz="4" w:space="1" w:color="auto"/>
          <w:right w:val="single" w:sz="4" w:space="4" w:color="auto"/>
        </w:pBdr>
        <w:rPr>
          <w:rFonts w:cs="Arial"/>
          <w:b/>
          <w:bCs/>
          <w:u w:val="single"/>
        </w:rPr>
      </w:pPr>
      <w:r>
        <w:rPr>
          <w:rFonts w:cs="Arial"/>
          <w:b/>
          <w:bCs/>
          <w:u w:val="single"/>
        </w:rPr>
        <w:t>Für weitergehende Informationen</w:t>
      </w:r>
      <w:r w:rsidR="000F2B27">
        <w:rPr>
          <w:rFonts w:cs="Arial"/>
          <w:b/>
          <w:bCs/>
          <w:u w:val="single"/>
        </w:rPr>
        <w:t xml:space="preserve"> und Rückfragen</w:t>
      </w:r>
      <w:r w:rsidRPr="003C68B6">
        <w:rPr>
          <w:rFonts w:cs="Arial"/>
          <w:b/>
          <w:bCs/>
          <w:u w:val="single"/>
        </w:rPr>
        <w:t>:</w:t>
      </w:r>
    </w:p>
    <w:p w:rsidR="003C68B6" w:rsidRDefault="003C68B6" w:rsidP="00753526">
      <w:pPr>
        <w:pBdr>
          <w:top w:val="single" w:sz="4" w:space="1" w:color="auto"/>
          <w:left w:val="single" w:sz="4" w:space="4" w:color="auto"/>
          <w:bottom w:val="single" w:sz="4" w:space="1" w:color="auto"/>
          <w:right w:val="single" w:sz="4" w:space="4" w:color="auto"/>
        </w:pBdr>
        <w:spacing w:line="240" w:lineRule="auto"/>
        <w:rPr>
          <w:rFonts w:cs="Arial"/>
        </w:rPr>
      </w:pPr>
      <w:r w:rsidRPr="00C95C9F">
        <w:rPr>
          <w:rFonts w:cs="Arial"/>
        </w:rPr>
        <w:t>Erzbischöfliche Generalvikariat</w:t>
      </w:r>
      <w:r w:rsidRPr="00C95C9F">
        <w:rPr>
          <w:rFonts w:cs="Arial"/>
        </w:rPr>
        <w:br/>
        <w:t xml:space="preserve">Hauptabteilung Finanzen – </w:t>
      </w:r>
      <w:r w:rsidR="00363AD7">
        <w:rPr>
          <w:rFonts w:cs="Arial"/>
        </w:rPr>
        <w:t>Referat Etat- und Rechnungswesen Kirchengemeinden</w:t>
      </w:r>
      <w:r w:rsidRPr="00C95C9F">
        <w:rPr>
          <w:rFonts w:cs="Arial"/>
        </w:rPr>
        <w:t xml:space="preserve"> (6.</w:t>
      </w:r>
      <w:r w:rsidR="00363AD7">
        <w:rPr>
          <w:rFonts w:cs="Arial"/>
        </w:rPr>
        <w:t>1</w:t>
      </w:r>
      <w:r w:rsidRPr="00C95C9F">
        <w:rPr>
          <w:rFonts w:cs="Arial"/>
        </w:rPr>
        <w:t>01)</w:t>
      </w:r>
      <w:r w:rsidRPr="00C95C9F">
        <w:rPr>
          <w:rFonts w:cs="Arial"/>
        </w:rPr>
        <w:br/>
        <w:t>Domplatz 3, 33098 Paderborn</w:t>
      </w:r>
    </w:p>
    <w:p w:rsidR="003C68B6" w:rsidRDefault="00363AD7" w:rsidP="00753526">
      <w:pPr>
        <w:pBdr>
          <w:top w:val="single" w:sz="4" w:space="1" w:color="auto"/>
          <w:left w:val="single" w:sz="4" w:space="4" w:color="auto"/>
          <w:bottom w:val="single" w:sz="4" w:space="1" w:color="auto"/>
          <w:right w:val="single" w:sz="4" w:space="4" w:color="auto"/>
        </w:pBdr>
        <w:tabs>
          <w:tab w:val="left" w:pos="4678"/>
        </w:tabs>
        <w:spacing w:line="240" w:lineRule="auto"/>
        <w:rPr>
          <w:rFonts w:cs="Arial"/>
          <w:sz w:val="20"/>
          <w:szCs w:val="20"/>
        </w:rPr>
      </w:pPr>
      <w:r>
        <w:rPr>
          <w:rFonts w:cs="Arial"/>
          <w:b/>
          <w:sz w:val="20"/>
          <w:szCs w:val="20"/>
        </w:rPr>
        <w:t>Stefanie Müting</w:t>
      </w:r>
      <w:r w:rsidR="003C68B6" w:rsidRPr="003C68B6">
        <w:rPr>
          <w:rFonts w:cs="Arial"/>
          <w:sz w:val="20"/>
          <w:szCs w:val="20"/>
        </w:rPr>
        <w:tab/>
      </w:r>
      <w:r w:rsidR="003C68B6" w:rsidRPr="003C68B6">
        <w:rPr>
          <w:rFonts w:cs="Arial"/>
          <w:sz w:val="20"/>
          <w:szCs w:val="20"/>
        </w:rPr>
        <w:br/>
      </w:r>
      <w:r>
        <w:rPr>
          <w:rFonts w:cs="Arial"/>
          <w:sz w:val="20"/>
          <w:szCs w:val="20"/>
        </w:rPr>
        <w:t>Tel.: 05251/125-1394</w:t>
      </w:r>
      <w:r w:rsidR="003C68B6" w:rsidRPr="003C68B6">
        <w:rPr>
          <w:rFonts w:cs="Arial"/>
          <w:sz w:val="20"/>
          <w:szCs w:val="20"/>
        </w:rPr>
        <w:tab/>
      </w:r>
      <w:r w:rsidR="003C68B6" w:rsidRPr="00C95C9F">
        <w:rPr>
          <w:rFonts w:cs="Arial"/>
          <w:sz w:val="20"/>
          <w:szCs w:val="20"/>
        </w:rPr>
        <w:br/>
        <w:t xml:space="preserve">E-Mail: </w:t>
      </w:r>
      <w:hyperlink r:id="rId9" w:history="1">
        <w:r>
          <w:rPr>
            <w:rFonts w:cs="Arial"/>
            <w:sz w:val="20"/>
            <w:szCs w:val="20"/>
          </w:rPr>
          <w:t>stefanie.mueting</w:t>
        </w:r>
        <w:r w:rsidR="003C68B6" w:rsidRPr="003C68B6">
          <w:rPr>
            <w:rFonts w:cs="Arial"/>
            <w:sz w:val="20"/>
            <w:szCs w:val="20"/>
          </w:rPr>
          <w:t>@erzbistum-paderborn.de</w:t>
        </w:r>
      </w:hyperlink>
      <w:r w:rsidR="003C68B6" w:rsidRPr="003C68B6">
        <w:rPr>
          <w:rFonts w:cs="Arial"/>
          <w:sz w:val="20"/>
          <w:szCs w:val="20"/>
        </w:rPr>
        <w:tab/>
      </w:r>
    </w:p>
    <w:p w:rsidR="00C95C9F" w:rsidRDefault="00C95C9F" w:rsidP="000F3EF4">
      <w:pPr>
        <w:spacing w:after="0"/>
        <w:jc w:val="both"/>
        <w:rPr>
          <w:rFonts w:cs="Arial"/>
        </w:rPr>
      </w:pPr>
    </w:p>
    <w:p w:rsidR="009901C4" w:rsidRDefault="000D5FC1" w:rsidP="009901C4">
      <w:pPr>
        <w:rPr>
          <w:b/>
        </w:rPr>
      </w:pPr>
      <w:r>
        <w:rPr>
          <w:b/>
        </w:rPr>
        <w:t xml:space="preserve">Warum </w:t>
      </w:r>
      <w:r w:rsidR="00D31D4B">
        <w:rPr>
          <w:b/>
        </w:rPr>
        <w:t>wird die Abschreibung in die Haushaltspläne und Jahresabschlüsse der Kirchengemeinden aufgenommen</w:t>
      </w:r>
      <w:r w:rsidR="009901C4">
        <w:rPr>
          <w:b/>
        </w:rPr>
        <w:t>?</w:t>
      </w:r>
    </w:p>
    <w:p w:rsidR="00880E7D" w:rsidRDefault="00880E7D" w:rsidP="00880E7D">
      <w:pPr>
        <w:pStyle w:val="Listenabsatz"/>
        <w:ind w:left="0"/>
        <w:jc w:val="both"/>
        <w:rPr>
          <w:rFonts w:cs="Arial"/>
        </w:rPr>
      </w:pPr>
      <w:r>
        <w:rPr>
          <w:rFonts w:cs="Arial"/>
        </w:rPr>
        <w:t xml:space="preserve">Mit Ablösung der Kameralistik und Einführung des doppischen Rechnungswesens ab dem Jahr 2009 verfolgt das EGV das Ziel, den gesamten Ressourcenverbrauch der Kirchengemeinden abzubilden. Dazu gehören explizit auch der Ausweis des Werteverzehrs der kirchengemeindlichen Gebäude und die Darstellung des notwendigen </w:t>
      </w:r>
      <w:r w:rsidR="00D31D4B">
        <w:rPr>
          <w:rFonts w:cs="Arial"/>
        </w:rPr>
        <w:t>Erhaltungs</w:t>
      </w:r>
      <w:r>
        <w:rPr>
          <w:rFonts w:cs="Arial"/>
        </w:rPr>
        <w:t xml:space="preserve">saufwands. Dabei soll sich die Buchungssystematik für die Kirchengemeinden möglichst nah an den Vorgaben des Handelsgesetzbuches (HGB) orientieren. Der Ausweis der Kosten der Immobilien soll außerdem die Diskussion über die Notwendigkeit und Finanzierbarkeit des Gebäudebestands anregen. (Vgl. dazu auch die Broschüre zum Teilprojekt 9 des Zukunftsbildes „Die Aufgabe von Gebäuden“) </w:t>
      </w:r>
    </w:p>
    <w:p w:rsidR="00784D06" w:rsidRDefault="00784D06" w:rsidP="00880E7D">
      <w:pPr>
        <w:pStyle w:val="Listenabsatz"/>
        <w:ind w:left="0"/>
        <w:jc w:val="both"/>
        <w:rPr>
          <w:rFonts w:cs="Arial"/>
        </w:rPr>
      </w:pPr>
      <w:r>
        <w:rPr>
          <w:rFonts w:cs="Arial"/>
        </w:rPr>
        <w:t xml:space="preserve">Bei Einführung der Doppik im Jahr 2009 </w:t>
      </w:r>
      <w:r w:rsidR="001321BB">
        <w:rPr>
          <w:rFonts w:cs="Arial"/>
        </w:rPr>
        <w:t>haben wir uns zunächst auf die Bewertung der nicht betriebsnotwendigen Immobilien konzentriert.</w:t>
      </w:r>
      <w:r>
        <w:rPr>
          <w:rFonts w:cs="Arial"/>
        </w:rPr>
        <w:t xml:space="preserve"> Die Bewertung des </w:t>
      </w:r>
      <w:r w:rsidR="001321BB">
        <w:rPr>
          <w:rFonts w:cs="Arial"/>
        </w:rPr>
        <w:t xml:space="preserve">übrigen </w:t>
      </w:r>
      <w:r>
        <w:rPr>
          <w:rFonts w:cs="Arial"/>
        </w:rPr>
        <w:t>Gebäudebestands ist mittlerweile er</w:t>
      </w:r>
      <w:r w:rsidR="001321BB">
        <w:rPr>
          <w:rFonts w:cs="Arial"/>
        </w:rPr>
        <w:t>folgt und die Verbuchung wird ab</w:t>
      </w:r>
      <w:r>
        <w:rPr>
          <w:rFonts w:cs="Arial"/>
        </w:rPr>
        <w:t xml:space="preserve"> den Jahresabschlüssen 2015 </w:t>
      </w:r>
      <w:r w:rsidR="001321BB">
        <w:rPr>
          <w:rFonts w:cs="Arial"/>
        </w:rPr>
        <w:t>sukzessive</w:t>
      </w:r>
      <w:r>
        <w:rPr>
          <w:rFonts w:cs="Arial"/>
        </w:rPr>
        <w:t xml:space="preserve"> umgesetzt.</w:t>
      </w:r>
    </w:p>
    <w:p w:rsidR="009901C4" w:rsidRDefault="009901C4" w:rsidP="009901C4">
      <w:pPr>
        <w:rPr>
          <w:b/>
        </w:rPr>
      </w:pPr>
    </w:p>
    <w:p w:rsidR="009901C4" w:rsidRDefault="00D31D4B" w:rsidP="009901C4">
      <w:pPr>
        <w:rPr>
          <w:b/>
        </w:rPr>
      </w:pPr>
      <w:r>
        <w:rPr>
          <w:b/>
        </w:rPr>
        <w:t>Warum ist es wichtig, die Abschreibung auszuweisen</w:t>
      </w:r>
      <w:r w:rsidR="009901C4">
        <w:rPr>
          <w:b/>
        </w:rPr>
        <w:t>?</w:t>
      </w:r>
    </w:p>
    <w:p w:rsidR="00532CCA" w:rsidRDefault="00532CCA" w:rsidP="009901C4">
      <w:r>
        <w:t xml:space="preserve">Die Abschreibung sorgt für Transparenz über den </w:t>
      </w:r>
      <w:r w:rsidR="000138F6">
        <w:t xml:space="preserve">tatsächlichen </w:t>
      </w:r>
      <w:r>
        <w:t xml:space="preserve">Aufwand des kirchengemeindlichen Gebäudebestands. </w:t>
      </w:r>
      <w:r w:rsidR="006F580B">
        <w:t xml:space="preserve">Der kontinuierliche Werteverzehr des Gebäudes wird dargestellt. </w:t>
      </w:r>
      <w:r>
        <w:t xml:space="preserve">Sie bildet </w:t>
      </w:r>
      <w:r w:rsidR="006F580B">
        <w:t xml:space="preserve">damit auch </w:t>
      </w:r>
      <w:r>
        <w:t xml:space="preserve">den Betrag ab, der jährlich zurückgelegt werden müsste, um nach dem Ende der Nutzungsdauer in gleicher Höhe </w:t>
      </w:r>
      <w:r w:rsidR="00E20C5A">
        <w:t>re</w:t>
      </w:r>
      <w:r>
        <w:t>investieren zu können.</w:t>
      </w:r>
      <w:r w:rsidR="000138F6">
        <w:t xml:space="preserve"> Der Ausweis der Abschreibungen soll dazu beitragen, eine</w:t>
      </w:r>
      <w:r w:rsidR="004E31BD">
        <w:t>n</w:t>
      </w:r>
      <w:r w:rsidR="000138F6">
        <w:t xml:space="preserve"> langfristig tragfähi</w:t>
      </w:r>
      <w:r w:rsidR="004E31BD">
        <w:t xml:space="preserve">gen Gebäudebestand </w:t>
      </w:r>
      <w:r w:rsidR="000138F6">
        <w:t xml:space="preserve">zu entwickeln und Handlungsspielräume </w:t>
      </w:r>
      <w:r w:rsidR="004E31BD">
        <w:t xml:space="preserve">für die Kirchengemeinde </w:t>
      </w:r>
      <w:r w:rsidR="000138F6">
        <w:t>zu erhalten.</w:t>
      </w:r>
    </w:p>
    <w:p w:rsidR="009901C4" w:rsidRPr="00532CCA" w:rsidRDefault="009901C4" w:rsidP="009901C4"/>
    <w:p w:rsidR="009901C4" w:rsidRDefault="00A755A8" w:rsidP="009901C4">
      <w:pPr>
        <w:rPr>
          <w:b/>
        </w:rPr>
      </w:pPr>
      <w:r>
        <w:rPr>
          <w:b/>
        </w:rPr>
        <w:t>Wie wurde</w:t>
      </w:r>
      <w:r w:rsidR="00D31D4B">
        <w:rPr>
          <w:b/>
        </w:rPr>
        <w:t>n die Gebäude der Kirchengemeinden</w:t>
      </w:r>
      <w:r w:rsidR="009901C4">
        <w:rPr>
          <w:b/>
        </w:rPr>
        <w:t xml:space="preserve"> bewertet?</w:t>
      </w:r>
    </w:p>
    <w:p w:rsidR="00A755A8" w:rsidRDefault="00A755A8" w:rsidP="00A755A8">
      <w:pPr>
        <w:pStyle w:val="Listenabsatz"/>
        <w:ind w:left="0"/>
        <w:jc w:val="both"/>
        <w:rPr>
          <w:rFonts w:cs="Arial"/>
        </w:rPr>
      </w:pPr>
      <w:r>
        <w:rPr>
          <w:rFonts w:cs="Arial"/>
        </w:rPr>
        <w:t>Die Bewertung der Gebä</w:t>
      </w:r>
      <w:r w:rsidR="00E20C5A">
        <w:rPr>
          <w:rFonts w:cs="Arial"/>
        </w:rPr>
        <w:t>ude ist durch externe Gutachter</w:t>
      </w:r>
      <w:r>
        <w:rPr>
          <w:rFonts w:cs="Arial"/>
        </w:rPr>
        <w:t xml:space="preserve"> gemäß der vom EGV vorgegebenen Verfahren erstellt worden. Für überwiegend wirtschaftlich genutzte Gebäude wie Wohngebäude  (auch Pfarrhäuser) und Gewerbeobjekte erfolgt die Bewertung nach dem Ertragswertverfahren. Bei nicht wirtschaftlich genutzten Gebäuden wie Pfarrheimen, Kindergärten, Verwaltungsgebäuden, kommt das Sachwertverfahren (NHK 2010) zur Anwendung</w:t>
      </w:r>
      <w:r w:rsidR="00E20C5A">
        <w:rPr>
          <w:rFonts w:cs="Arial"/>
        </w:rPr>
        <w:t>. Sakrale Gebäude wurden</w:t>
      </w:r>
      <w:r>
        <w:rPr>
          <w:rFonts w:cs="Arial"/>
        </w:rPr>
        <w:t xml:space="preserve"> nicht bewertet und zu einem Erinnerungswert von 1 € bilanziert</w:t>
      </w:r>
      <w:r w:rsidRPr="00BF7100">
        <w:rPr>
          <w:rFonts w:cs="Arial"/>
        </w:rPr>
        <w:t xml:space="preserve">. </w:t>
      </w:r>
      <w:r>
        <w:rPr>
          <w:rFonts w:cs="Arial"/>
        </w:rPr>
        <w:t>Z</w:t>
      </w:r>
      <w:r w:rsidRPr="00BF7100">
        <w:rPr>
          <w:rFonts w:cs="Arial"/>
        </w:rPr>
        <w:t>ukünftig</w:t>
      </w:r>
      <w:r>
        <w:rPr>
          <w:rFonts w:cs="Arial"/>
        </w:rPr>
        <w:t xml:space="preserve"> </w:t>
      </w:r>
      <w:r w:rsidR="005C645B">
        <w:rPr>
          <w:rFonts w:cs="Arial"/>
        </w:rPr>
        <w:t xml:space="preserve">kann es auch für die Sakralgebäude zu einer Abschreibung kommen, wenn umfangreiche </w:t>
      </w:r>
      <w:r w:rsidR="002F2092">
        <w:rPr>
          <w:rFonts w:cs="Arial"/>
        </w:rPr>
        <w:t>B</w:t>
      </w:r>
      <w:r>
        <w:rPr>
          <w:rFonts w:cs="Arial"/>
        </w:rPr>
        <w:t>aumaßnahmen</w:t>
      </w:r>
      <w:r w:rsidR="005C645B">
        <w:rPr>
          <w:rFonts w:cs="Arial"/>
        </w:rPr>
        <w:t xml:space="preserve"> aktiviert werden und der Aufwand aus der Baumaßnahme nicht voll im Jahr der Fertigstellung, sondern über die Nutzungsdauer des Gebäudes dargestellt wird</w:t>
      </w:r>
      <w:r w:rsidRPr="00BF7100">
        <w:rPr>
          <w:rFonts w:cs="Arial"/>
        </w:rPr>
        <w:t>.</w:t>
      </w:r>
    </w:p>
    <w:p w:rsidR="00A755A8" w:rsidRDefault="00A755A8" w:rsidP="00A755A8">
      <w:pPr>
        <w:pStyle w:val="Listenabsatz"/>
        <w:ind w:left="357"/>
        <w:jc w:val="both"/>
        <w:rPr>
          <w:rFonts w:cs="Arial"/>
        </w:rPr>
      </w:pPr>
    </w:p>
    <w:p w:rsidR="00A755A8" w:rsidRDefault="00A755A8" w:rsidP="00A755A8">
      <w:pPr>
        <w:pStyle w:val="Listenabsatz"/>
        <w:ind w:left="0"/>
        <w:contextualSpacing w:val="0"/>
        <w:jc w:val="both"/>
        <w:rPr>
          <w:rFonts w:cs="Arial"/>
          <w:i/>
        </w:rPr>
      </w:pPr>
      <w:r>
        <w:rPr>
          <w:rFonts w:cs="Arial"/>
          <w:i/>
        </w:rPr>
        <w:t>Warum erfolgt die Bewertung von Pfarrheimen nach dem Sachwertverfahren?</w:t>
      </w:r>
    </w:p>
    <w:p w:rsidR="00383636" w:rsidRPr="00981EB9" w:rsidRDefault="00383636" w:rsidP="00383636">
      <w:pPr>
        <w:pStyle w:val="Listenabsatz"/>
        <w:ind w:left="0"/>
        <w:contextualSpacing w:val="0"/>
        <w:jc w:val="both"/>
        <w:rPr>
          <w:rFonts w:cs="Arial"/>
        </w:rPr>
      </w:pPr>
      <w:r w:rsidRPr="007A6B1C">
        <w:rPr>
          <w:rFonts w:cs="Arial"/>
        </w:rPr>
        <w:t>Pfarrheime sind nicht gewerblich genutzte Gebäude und verfügen i.d.R. nicht über eigene Ein</w:t>
      </w:r>
      <w:r>
        <w:rPr>
          <w:rFonts w:cs="Arial"/>
        </w:rPr>
        <w:t>nahmen. Sie können daher nicht wie ein Renditeobjekt betrachtet werden. Außerdem wird für diesen Gebäudetyp überwiegend von einer weiteren Nutzung ausgegangen. Die Bewertung erfolgt daher nicht zu einem möglichen Verkaufspreis, sondern bildet die Kosten des weiteren Erhal</w:t>
      </w:r>
      <w:r w:rsidR="00925CF3">
        <w:rPr>
          <w:rFonts w:cs="Arial"/>
        </w:rPr>
        <w:t>ts ab. Im Erzbistum ist</w:t>
      </w:r>
      <w:r>
        <w:rPr>
          <w:rFonts w:cs="Arial"/>
        </w:rPr>
        <w:t xml:space="preserve"> aus denselben Gründen auch die Bewertung von Schulen, Bildungshäusern und weiteren Einrichtungen nach dem Sachwertverfahren erfolgt.</w:t>
      </w:r>
    </w:p>
    <w:p w:rsidR="00A755A8" w:rsidRDefault="00A755A8" w:rsidP="00A755A8">
      <w:pPr>
        <w:pStyle w:val="Listenabsatz"/>
        <w:ind w:left="357"/>
        <w:jc w:val="both"/>
        <w:rPr>
          <w:rFonts w:cs="Arial"/>
          <w:i/>
        </w:rPr>
      </w:pPr>
    </w:p>
    <w:p w:rsidR="00A755A8" w:rsidRDefault="00A755A8" w:rsidP="00A755A8">
      <w:pPr>
        <w:pStyle w:val="Listenabsatz"/>
        <w:ind w:left="0"/>
        <w:jc w:val="both"/>
        <w:rPr>
          <w:rFonts w:cs="Arial"/>
          <w:i/>
        </w:rPr>
      </w:pPr>
      <w:r>
        <w:rPr>
          <w:rFonts w:cs="Arial"/>
          <w:i/>
        </w:rPr>
        <w:t>Wie ermitteln sich die Nutzungsdauern?</w:t>
      </w:r>
    </w:p>
    <w:p w:rsidR="009901C4" w:rsidRPr="008D05A8" w:rsidRDefault="00A755A8" w:rsidP="008D05A8">
      <w:r>
        <w:rPr>
          <w:rFonts w:cs="Arial"/>
        </w:rPr>
        <w:t xml:space="preserve">Die Nutzungsdauer ermittelt sich nach den Normalherstellungskosten 2010 (NHK 2010). Der Orientierungswert für die Nutzung von Pfarrheimen </w:t>
      </w:r>
      <w:r w:rsidRPr="00BF7100">
        <w:rPr>
          <w:rFonts w:cs="Arial"/>
        </w:rPr>
        <w:t xml:space="preserve">beträgt danach </w:t>
      </w:r>
      <w:r w:rsidR="00B144CF">
        <w:rPr>
          <w:rFonts w:cs="Arial"/>
        </w:rPr>
        <w:t xml:space="preserve">z.B. </w:t>
      </w:r>
      <w:r w:rsidRPr="00BF7100">
        <w:rPr>
          <w:rFonts w:cs="Arial"/>
        </w:rPr>
        <w:t>40 Jahre.</w:t>
      </w:r>
      <w:r>
        <w:rPr>
          <w:rFonts w:cs="Arial"/>
        </w:rPr>
        <w:t xml:space="preserve"> Modernisierungen oder unterlassene Instandhaltungen können zu einer Verlängerung bzw. Verkürzung der Nutzungsdauer führen. Diese Aspekte wurden von den Gutachtern für jedes Gebäude </w:t>
      </w:r>
      <w:r w:rsidRPr="008D05A8">
        <w:t xml:space="preserve">individuell </w:t>
      </w:r>
      <w:r w:rsidR="00C76F8E" w:rsidRPr="008D05A8">
        <w:t xml:space="preserve">erhoben und </w:t>
      </w:r>
      <w:r w:rsidRPr="008D05A8">
        <w:t>berücksichtigt.</w:t>
      </w:r>
    </w:p>
    <w:p w:rsidR="00C76F8E" w:rsidRPr="008D05A8" w:rsidRDefault="00C76F8E" w:rsidP="008D05A8"/>
    <w:p w:rsidR="009901C4" w:rsidRPr="008D05A8" w:rsidRDefault="009901C4" w:rsidP="00053DD9">
      <w:pPr>
        <w:rPr>
          <w:b/>
        </w:rPr>
      </w:pPr>
      <w:r w:rsidRPr="008D05A8">
        <w:rPr>
          <w:b/>
        </w:rPr>
        <w:t>W</w:t>
      </w:r>
      <w:r w:rsidR="006F580B" w:rsidRPr="008D05A8">
        <w:rPr>
          <w:b/>
        </w:rPr>
        <w:t>ie errechnet sich die Abschreibung</w:t>
      </w:r>
      <w:r w:rsidRPr="008D05A8">
        <w:rPr>
          <w:b/>
        </w:rPr>
        <w:t>?</w:t>
      </w:r>
    </w:p>
    <w:p w:rsidR="00C76F8E" w:rsidRDefault="005175F3" w:rsidP="00C76F8E">
      <w:pPr>
        <w:pStyle w:val="Listenabsatz"/>
        <w:ind w:left="0"/>
        <w:rPr>
          <w:rFonts w:cs="Arial"/>
        </w:rPr>
      </w:pPr>
      <w:r>
        <w:rPr>
          <w:rFonts w:cs="Arial"/>
        </w:rPr>
        <w:t xml:space="preserve">Die Abschreibung </w:t>
      </w:r>
      <w:r w:rsidR="00D31D4B">
        <w:rPr>
          <w:rFonts w:cs="Arial"/>
        </w:rPr>
        <w:t xml:space="preserve">wird nach den Regeln des HGB berechnet, d.h. sie </w:t>
      </w:r>
      <w:r>
        <w:rPr>
          <w:rFonts w:cs="Arial"/>
        </w:rPr>
        <w:t xml:space="preserve">erfolgt linear mit gleichen Jahresbeträgen über die ermittelte </w:t>
      </w:r>
      <w:r w:rsidR="002F2092">
        <w:rPr>
          <w:rFonts w:cs="Arial"/>
        </w:rPr>
        <w:t>(Rest-)</w:t>
      </w:r>
      <w:r>
        <w:rPr>
          <w:rFonts w:cs="Arial"/>
        </w:rPr>
        <w:t xml:space="preserve">Nutzungsdauer. </w:t>
      </w:r>
      <w:r w:rsidR="00C76F8E">
        <w:rPr>
          <w:rFonts w:cs="Arial"/>
        </w:rPr>
        <w:t>Die Ergebniswirkung der Abschreibungen ergibt sich durch Abzug des periodi</w:t>
      </w:r>
      <w:r>
        <w:rPr>
          <w:rFonts w:cs="Arial"/>
        </w:rPr>
        <w:t xml:space="preserve">schen </w:t>
      </w:r>
      <w:r w:rsidRPr="005175F3">
        <w:rPr>
          <w:rFonts w:cs="Arial"/>
        </w:rPr>
        <w:t>Förderanteils (</w:t>
      </w:r>
      <w:r w:rsidR="00C76F8E" w:rsidRPr="005175F3">
        <w:rPr>
          <w:rFonts w:cs="Arial"/>
        </w:rPr>
        <w:t>Sonderposten)</w:t>
      </w:r>
      <w:r w:rsidR="00C76F8E">
        <w:rPr>
          <w:rFonts w:cs="Arial"/>
        </w:rPr>
        <w:t xml:space="preserve"> </w:t>
      </w:r>
      <w:r w:rsidR="00C76F8E" w:rsidRPr="00FA4190">
        <w:rPr>
          <w:rFonts w:cs="Arial"/>
        </w:rPr>
        <w:t>von</w:t>
      </w:r>
      <w:r w:rsidR="00C76F8E">
        <w:rPr>
          <w:rFonts w:cs="Arial"/>
        </w:rPr>
        <w:t xml:space="preserve"> der Summe der Abschreibungen.</w:t>
      </w:r>
    </w:p>
    <w:p w:rsidR="00C76F8E" w:rsidRDefault="00C76F8E" w:rsidP="00C76F8E">
      <w:pPr>
        <w:pStyle w:val="Listenabsatz"/>
        <w:ind w:left="357"/>
        <w:jc w:val="both"/>
        <w:rPr>
          <w:rFonts w:cs="Arial"/>
        </w:rPr>
      </w:pPr>
    </w:p>
    <w:p w:rsidR="00C76F8E" w:rsidRPr="0042463D" w:rsidRDefault="00C76F8E" w:rsidP="00C76F8E">
      <w:pPr>
        <w:pStyle w:val="Listenabsatz"/>
        <w:ind w:left="0"/>
        <w:jc w:val="both"/>
        <w:rPr>
          <w:rFonts w:cs="Arial"/>
          <w:u w:val="single"/>
        </w:rPr>
      </w:pPr>
      <w:r w:rsidRPr="0042463D">
        <w:rPr>
          <w:rFonts w:cs="Arial"/>
          <w:u w:val="single"/>
        </w:rPr>
        <w:t>Beispiel:</w:t>
      </w:r>
    </w:p>
    <w:p w:rsidR="00C76F8E" w:rsidRPr="0042463D" w:rsidRDefault="00C76F8E" w:rsidP="00C76F8E">
      <w:pPr>
        <w:pStyle w:val="Listenabsatz"/>
        <w:ind w:left="0"/>
        <w:jc w:val="both"/>
        <w:rPr>
          <w:rFonts w:cs="Arial"/>
        </w:rPr>
      </w:pPr>
      <w:r>
        <w:rPr>
          <w:rFonts w:cs="Arial"/>
        </w:rPr>
        <w:t>Pfarrheim mit einer Bewertung von 200.000 €, Restn</w:t>
      </w:r>
      <w:r w:rsidRPr="0042463D">
        <w:rPr>
          <w:rFonts w:cs="Arial"/>
        </w:rPr>
        <w:t>utzungsdauer 10 Jahre</w:t>
      </w:r>
    </w:p>
    <w:p w:rsidR="00C76F8E" w:rsidRPr="0042463D" w:rsidRDefault="00C76F8E" w:rsidP="00C76F8E">
      <w:pPr>
        <w:pStyle w:val="Listenabsatz"/>
        <w:ind w:left="0"/>
        <w:jc w:val="both"/>
        <w:rPr>
          <w:rFonts w:cs="Arial"/>
        </w:rPr>
      </w:pPr>
      <w:r>
        <w:rPr>
          <w:rFonts w:cs="Arial"/>
        </w:rPr>
        <w:t>Jährliche Abschreibung = 200.000 € / 10 = 20.000 €</w:t>
      </w:r>
    </w:p>
    <w:p w:rsidR="00C76F8E" w:rsidRDefault="00C76F8E" w:rsidP="00C76F8E">
      <w:pPr>
        <w:pStyle w:val="Listenabsatz"/>
        <w:ind w:left="0"/>
        <w:jc w:val="both"/>
        <w:rPr>
          <w:rFonts w:cs="Arial"/>
        </w:rPr>
      </w:pPr>
      <w:r>
        <w:rPr>
          <w:rFonts w:cs="Arial"/>
        </w:rPr>
        <w:t>Der Bau von Pfarrheimen wir</w:t>
      </w:r>
      <w:r w:rsidR="002F2092">
        <w:rPr>
          <w:rFonts w:cs="Arial"/>
        </w:rPr>
        <w:t>d</w:t>
      </w:r>
      <w:r>
        <w:rPr>
          <w:rFonts w:cs="Arial"/>
        </w:rPr>
        <w:t xml:space="preserve"> durch das EGV mit 40% gefördert, der Sonderposten für den Zuschussanteil beträgt daher 200.000 € x 40% = 80.000 €</w:t>
      </w:r>
    </w:p>
    <w:p w:rsidR="00C76F8E" w:rsidRPr="0042463D" w:rsidRDefault="00C76F8E" w:rsidP="00C76F8E">
      <w:pPr>
        <w:pStyle w:val="Listenabsatz"/>
        <w:ind w:left="0"/>
        <w:jc w:val="both"/>
        <w:rPr>
          <w:rFonts w:cs="Arial"/>
        </w:rPr>
      </w:pPr>
      <w:r>
        <w:rPr>
          <w:rFonts w:cs="Arial"/>
        </w:rPr>
        <w:lastRenderedPageBreak/>
        <w:t>Die Auflösung des Sonderpostens erfolgt parallel zur Abschreibung über 10 Jahre, d.h. der jährliche Ertrag liegt bei 80.000 € / 10 = 8.000 €</w:t>
      </w:r>
    </w:p>
    <w:p w:rsidR="009901C4" w:rsidRDefault="00D31D4B" w:rsidP="008D05A8">
      <w:pPr>
        <w:rPr>
          <w:rFonts w:cs="Arial"/>
        </w:rPr>
      </w:pPr>
      <w:r>
        <w:rPr>
          <w:rFonts w:cs="Arial"/>
        </w:rPr>
        <w:t>Die Ergebniswirkung beträgt damit</w:t>
      </w:r>
      <w:r w:rsidR="00C76F8E">
        <w:rPr>
          <w:rFonts w:cs="Arial"/>
        </w:rPr>
        <w:t xml:space="preserve"> 20.000 € - 8.000 € = 12.000 €</w:t>
      </w:r>
    </w:p>
    <w:p w:rsidR="006F580B" w:rsidRPr="005175F3" w:rsidRDefault="006F580B" w:rsidP="008D05A8">
      <w:pPr>
        <w:rPr>
          <w:rFonts w:cs="Arial"/>
        </w:rPr>
      </w:pPr>
    </w:p>
    <w:p w:rsidR="009901C4" w:rsidRPr="008D05A8" w:rsidRDefault="009901C4" w:rsidP="009901C4">
      <w:pPr>
        <w:rPr>
          <w:rFonts w:cs="Arial"/>
          <w:b/>
        </w:rPr>
      </w:pPr>
      <w:r w:rsidRPr="008D05A8">
        <w:rPr>
          <w:rFonts w:cs="Arial"/>
          <w:b/>
        </w:rPr>
        <w:t>W</w:t>
      </w:r>
      <w:r w:rsidR="00532CCA" w:rsidRPr="008D05A8">
        <w:rPr>
          <w:rFonts w:cs="Arial"/>
          <w:b/>
        </w:rPr>
        <w:t>elche Auswirkungen hat die</w:t>
      </w:r>
      <w:r w:rsidRPr="008D05A8">
        <w:rPr>
          <w:rFonts w:cs="Arial"/>
          <w:b/>
        </w:rPr>
        <w:t xml:space="preserve"> </w:t>
      </w:r>
      <w:r w:rsidR="006F580B" w:rsidRPr="008D05A8">
        <w:rPr>
          <w:rFonts w:cs="Arial"/>
          <w:b/>
        </w:rPr>
        <w:t xml:space="preserve">Abschreibung </w:t>
      </w:r>
      <w:r w:rsidRPr="008D05A8">
        <w:rPr>
          <w:rFonts w:cs="Arial"/>
          <w:b/>
        </w:rPr>
        <w:t>auf die Haushaltspläne?</w:t>
      </w:r>
      <w:r w:rsidR="00532CCA" w:rsidRPr="008D05A8">
        <w:rPr>
          <w:rFonts w:cs="Arial"/>
          <w:b/>
        </w:rPr>
        <w:t xml:space="preserve"> </w:t>
      </w:r>
    </w:p>
    <w:p w:rsidR="009E44A2" w:rsidRDefault="006F580B" w:rsidP="009E44A2">
      <w:pPr>
        <w:spacing w:after="0"/>
      </w:pPr>
      <w:r>
        <w:t>Die Bilanzierung der Gebäude führt in zwei Positionen z</w:t>
      </w:r>
      <w:r w:rsidR="009E44A2">
        <w:t xml:space="preserve">u Veränderungen der Gebäudekostenstellen. Einmal wird auf dem Konto 66200000 „Abschreibungen auf Gebäude; Kultur- und Naturgüter, Wald“ der Aufwand dargestellt. Zusätzlich werden die Erträge aus Zuschüssen des EGV auf dem Konto 54300000 „Erträge aus der Auflösung von Sopo […]“ gegengerechnet (Beispiel s.o.). </w:t>
      </w:r>
    </w:p>
    <w:p w:rsidR="009E44A2" w:rsidRDefault="009E44A2" w:rsidP="008D05A8">
      <w:r>
        <w:t xml:space="preserve">Im Ergebnis führt die Bilanzierung der Gebäude in vielen Fällen </w:t>
      </w:r>
      <w:r w:rsidR="002F2092">
        <w:t xml:space="preserve">zunächst </w:t>
      </w:r>
      <w:r>
        <w:t>zu Defiziten der kirchengemeindlichen Haushalte</w:t>
      </w:r>
      <w:r w:rsidR="00E20C5A">
        <w:t>.</w:t>
      </w:r>
      <w:r w:rsidR="002F2092">
        <w:t xml:space="preserve"> Ein Abfluss finanzieller Mittel wird </w:t>
      </w:r>
      <w:r w:rsidR="00400223">
        <w:t xml:space="preserve">durch die Abschreibung </w:t>
      </w:r>
      <w:r w:rsidR="002F2092">
        <w:t>nicht ausgelöst. Soweit es der Gemeinde aber gelingt, auch die Abschreibungen aus den Etatmitteln zu decken, werden dadurch Finanzmittel angespart, die bei künftigen Baumaßnahmen als Eigenanteil eingebracht werden können.</w:t>
      </w:r>
    </w:p>
    <w:p w:rsidR="009E44A2" w:rsidRPr="006F580B" w:rsidRDefault="009E44A2" w:rsidP="008D05A8"/>
    <w:p w:rsidR="00532CCA" w:rsidRDefault="00D31D4B" w:rsidP="008D05A8">
      <w:pPr>
        <w:rPr>
          <w:b/>
        </w:rPr>
      </w:pPr>
      <w:r>
        <w:rPr>
          <w:b/>
        </w:rPr>
        <w:t>Werden negative Haushaltspläne und Jahresabschlüsse</w:t>
      </w:r>
      <w:r w:rsidR="001321BB">
        <w:rPr>
          <w:b/>
        </w:rPr>
        <w:t xml:space="preserve"> durch das EGV </w:t>
      </w:r>
      <w:r>
        <w:rPr>
          <w:b/>
        </w:rPr>
        <w:t>genehmigt</w:t>
      </w:r>
      <w:r w:rsidR="00532CCA">
        <w:rPr>
          <w:b/>
        </w:rPr>
        <w:t>?</w:t>
      </w:r>
    </w:p>
    <w:p w:rsidR="00F519C6" w:rsidRDefault="003C28C9" w:rsidP="00F519C6">
      <w:pPr>
        <w:pStyle w:val="Listenabsatz"/>
        <w:ind w:left="0"/>
        <w:jc w:val="both"/>
      </w:pPr>
      <w:r>
        <w:t xml:space="preserve">Grundsätzlich muss der Haushaltsplan einer Kirchengemeinde ein mindestens ausgeglichenes Ergebnis ausweisen. Bei negativen Haushaltsplänen sollen Maßnahmen zur Konsolidierung getroffen werden. Durch die Abschreibungen werden die Kosten für den Gebäudebestand der Kirchengemeinden erstmals umfassend abgebildet. Wenn dadurch ein Defizit entsteht, ist der Gebäudebestand in Frage zu stellen bzw. </w:t>
      </w:r>
      <w:r w:rsidR="00F519C6">
        <w:t xml:space="preserve">sind </w:t>
      </w:r>
      <w:r>
        <w:t xml:space="preserve">andere Kompensationsmöglichkeiten zu prüfen. Allerdings sind </w:t>
      </w:r>
      <w:r>
        <w:rPr>
          <w:rFonts w:cs="Arial"/>
        </w:rPr>
        <w:t>Fra</w:t>
      </w:r>
      <w:r w:rsidR="00F519C6">
        <w:rPr>
          <w:rFonts w:cs="Arial"/>
        </w:rPr>
        <w:t>gen, die sich mit dem Erhalt oder</w:t>
      </w:r>
      <w:r>
        <w:rPr>
          <w:rFonts w:cs="Arial"/>
        </w:rPr>
        <w:t xml:space="preserve"> Abbau des Gebäudebestands von Kirc</w:t>
      </w:r>
      <w:r w:rsidR="00F519C6">
        <w:rPr>
          <w:rFonts w:cs="Arial"/>
        </w:rPr>
        <w:t xml:space="preserve">hengemeinden beschäftigen, </w:t>
      </w:r>
      <w:r>
        <w:rPr>
          <w:rFonts w:cs="Arial"/>
        </w:rPr>
        <w:t>häufig nur langfristig zu klären. Das EGV hat seine Genehmigungspraxis daran angepasst</w:t>
      </w:r>
      <w:r w:rsidR="002F2092">
        <w:rPr>
          <w:rFonts w:cs="Arial"/>
        </w:rPr>
        <w:t>. Da durch die Aktivierung und die dann erfolgende laufende Abschreibung weder eine Überschuldung noch eine Zahlungsunfähigkeit der Kirchengemeinden verursacht wird, werden die gemeindlichen Etats bis auf weiteres auch bei einem abschreibungsbedingten Defizit genehmigt.</w:t>
      </w:r>
    </w:p>
    <w:p w:rsidR="00F519C6" w:rsidRPr="00F519C6" w:rsidRDefault="00F519C6" w:rsidP="00532CCA">
      <w:pPr>
        <w:rPr>
          <w:i/>
        </w:rPr>
      </w:pPr>
      <w:r w:rsidRPr="00F519C6">
        <w:rPr>
          <w:i/>
        </w:rPr>
        <w:t>Vorgaben für die Genehmigung negativer Haushalte:</w:t>
      </w:r>
    </w:p>
    <w:p w:rsidR="00E20C5A" w:rsidRDefault="00E20C5A" w:rsidP="00E20C5A">
      <w:pPr>
        <w:pStyle w:val="Listenabsatz"/>
        <w:numPr>
          <w:ilvl w:val="0"/>
          <w:numId w:val="10"/>
        </w:numPr>
        <w:jc w:val="both"/>
        <w:rPr>
          <w:rFonts w:cs="Arial"/>
        </w:rPr>
      </w:pPr>
      <w:r w:rsidRPr="00A27CA0">
        <w:rPr>
          <w:rFonts w:cs="Arial"/>
        </w:rPr>
        <w:t>Haushalte, die ohne Berücksichtigung der ergebniswirksamen Abschreibungen mindestens ausgeglichen wären, werden weiterhin kirchenaufsichtlich genehmigt. Dieses gilt bis zur Höchstgrenze de</w:t>
      </w:r>
      <w:r>
        <w:rPr>
          <w:rFonts w:cs="Arial"/>
        </w:rPr>
        <w:t>r Kapitalstockerhöhung durch Einbuchung der Gebäude.</w:t>
      </w:r>
    </w:p>
    <w:p w:rsidR="00E20C5A" w:rsidRPr="00A27CA0" w:rsidRDefault="00E20C5A" w:rsidP="00E20C5A">
      <w:pPr>
        <w:pStyle w:val="Listenabsatz"/>
        <w:numPr>
          <w:ilvl w:val="0"/>
          <w:numId w:val="10"/>
        </w:numPr>
        <w:jc w:val="both"/>
        <w:rPr>
          <w:rFonts w:cs="Arial"/>
        </w:rPr>
      </w:pPr>
      <w:r>
        <w:rPr>
          <w:rFonts w:cs="Arial"/>
        </w:rPr>
        <w:t>Laut Haushaltsordnung des EGV kann ein negativer Haushalt nur bei vorhandenen Rücklagen genehmigt werden. Diese Vorgabe wird erweitert auf die Betrachtung des gesamten nicht zweckgebundenen Eigenkapitals. Die Positionen „Kapitalstock“, „Ergebnis-/Schlüsselzuweisungsrücklage“ und „Ergebnisvortrag“ werden in Summe betrachtet. Liegt der Wert über der Summe zum Zeitpunkt der Bewertung erfolgt die Genehmigung.</w:t>
      </w:r>
    </w:p>
    <w:p w:rsidR="00E20C5A" w:rsidRDefault="00E20C5A" w:rsidP="00E20C5A">
      <w:pPr>
        <w:pStyle w:val="Listenabsatz"/>
        <w:numPr>
          <w:ilvl w:val="0"/>
          <w:numId w:val="10"/>
        </w:numPr>
        <w:jc w:val="both"/>
        <w:rPr>
          <w:rFonts w:cs="Arial"/>
        </w:rPr>
      </w:pPr>
      <w:r>
        <w:rPr>
          <w:rFonts w:cs="Arial"/>
        </w:rPr>
        <w:t>Weis</w:t>
      </w:r>
      <w:r w:rsidR="00F431F2">
        <w:rPr>
          <w:rFonts w:cs="Arial"/>
        </w:rPr>
        <w:t>t ein Haushalt ein</w:t>
      </w:r>
      <w:r>
        <w:rPr>
          <w:rFonts w:cs="Arial"/>
        </w:rPr>
        <w:t xml:space="preserve"> Defizit aus, das über den Eigenanteil der </w:t>
      </w:r>
      <w:r w:rsidR="002F2092">
        <w:rPr>
          <w:rFonts w:cs="Arial"/>
        </w:rPr>
        <w:t>Abschreibungen hinausgeht</w:t>
      </w:r>
      <w:r>
        <w:rPr>
          <w:rFonts w:cs="Arial"/>
        </w:rPr>
        <w:t xml:space="preserve"> sind – gerne </w:t>
      </w:r>
      <w:r w:rsidR="002F2092">
        <w:rPr>
          <w:rFonts w:cs="Arial"/>
        </w:rPr>
        <w:t>in Abstimmung mit dem</w:t>
      </w:r>
      <w:r>
        <w:rPr>
          <w:rFonts w:cs="Arial"/>
        </w:rPr>
        <w:t xml:space="preserve"> EGV – Maßnahmen zum Haushaltsausgleich zu </w:t>
      </w:r>
      <w:r w:rsidR="00525821">
        <w:rPr>
          <w:rFonts w:cs="Arial"/>
        </w:rPr>
        <w:t>ergreifen</w:t>
      </w:r>
      <w:r>
        <w:rPr>
          <w:rFonts w:cs="Arial"/>
        </w:rPr>
        <w:t>.</w:t>
      </w:r>
    </w:p>
    <w:p w:rsidR="001321BB" w:rsidRDefault="001321BB" w:rsidP="001321BB">
      <w:pPr>
        <w:jc w:val="both"/>
        <w:rPr>
          <w:rFonts w:cs="Arial"/>
        </w:rPr>
      </w:pPr>
    </w:p>
    <w:p w:rsidR="00925CF3" w:rsidRDefault="00925CF3" w:rsidP="001321BB">
      <w:pPr>
        <w:jc w:val="both"/>
        <w:rPr>
          <w:rFonts w:cs="Arial"/>
        </w:rPr>
      </w:pPr>
    </w:p>
    <w:p w:rsidR="00925CF3" w:rsidRDefault="00925CF3" w:rsidP="001321BB">
      <w:pPr>
        <w:jc w:val="both"/>
        <w:rPr>
          <w:rFonts w:cs="Arial"/>
        </w:rPr>
      </w:pPr>
    </w:p>
    <w:p w:rsidR="001321BB" w:rsidRPr="001321BB" w:rsidRDefault="001321BB" w:rsidP="001321BB">
      <w:pPr>
        <w:jc w:val="both"/>
        <w:rPr>
          <w:rFonts w:cs="Arial"/>
        </w:rPr>
      </w:pPr>
    </w:p>
    <w:p w:rsidR="00E20C5A" w:rsidRDefault="00E20C5A" w:rsidP="00E20C5A">
      <w:pPr>
        <w:ind w:left="357"/>
        <w:jc w:val="both"/>
        <w:rPr>
          <w:rFonts w:cs="Arial"/>
          <w:u w:val="single"/>
        </w:rPr>
      </w:pPr>
      <w:r w:rsidRPr="0063764A">
        <w:rPr>
          <w:rFonts w:cs="Arial"/>
          <w:u w:val="single"/>
        </w:rPr>
        <w:t>Beispiel:</w:t>
      </w:r>
    </w:p>
    <w:p w:rsidR="007A6B1C" w:rsidRDefault="00DB69D5" w:rsidP="00E20C5A">
      <w:pPr>
        <w:ind w:left="357"/>
        <w:jc w:val="both"/>
        <w:rPr>
          <w:rFonts w:cs="Arial"/>
        </w:rPr>
      </w:pPr>
      <w:r>
        <w:rPr>
          <w:rFonts w:cs="Arial"/>
        </w:rPr>
        <w:t xml:space="preserve">Das Beispiel verdeutlicht die </w:t>
      </w:r>
      <w:r w:rsidR="007A6B1C">
        <w:rPr>
          <w:rFonts w:cs="Arial"/>
        </w:rPr>
        <w:t>Auswirkungen der Einbuchung von Gebäuden auf die Bilanz.</w:t>
      </w:r>
      <w:r>
        <w:rPr>
          <w:rFonts w:cs="Arial"/>
        </w:rPr>
        <w:t xml:space="preserve"> Zur besseren Darstellung wird davon ausgegangen, dass die Kirchengemeinde nur über ein noch zu bilanzierendes Gebäude verfügt (Pfarrheim)</w:t>
      </w:r>
      <w:r w:rsidR="00FA5A72">
        <w:rPr>
          <w:rFonts w:cs="Arial"/>
        </w:rPr>
        <w:t xml:space="preserve"> und auch vorher über kein weiteres Anlagevermögen</w:t>
      </w:r>
      <w:r>
        <w:rPr>
          <w:rFonts w:cs="Arial"/>
        </w:rPr>
        <w:t>.</w:t>
      </w:r>
    </w:p>
    <w:p w:rsidR="00DB69D5" w:rsidRPr="007A6B1C" w:rsidRDefault="00DB69D5" w:rsidP="00E20C5A">
      <w:pPr>
        <w:ind w:left="357"/>
        <w:jc w:val="both"/>
        <w:rPr>
          <w:rFonts w:cs="Arial"/>
        </w:rPr>
      </w:pPr>
      <w:r>
        <w:rPr>
          <w:rFonts w:cs="Arial"/>
        </w:rPr>
        <w:t>Die Bewertung des Pfarrheims beträgt 200.000 €, die Restnutzungsdauer 10 Jahre. Die Förderung des EGV für Pfarrheime liegt bei 40% (80.000 €).</w:t>
      </w:r>
    </w:p>
    <w:p w:rsidR="007A6B1C" w:rsidRPr="00DB69D5" w:rsidRDefault="007A6B1C" w:rsidP="00E20C5A">
      <w:pPr>
        <w:ind w:left="357"/>
        <w:jc w:val="both"/>
        <w:rPr>
          <w:rFonts w:cs="Arial"/>
        </w:rPr>
      </w:pPr>
    </w:p>
    <w:tbl>
      <w:tblPr>
        <w:tblStyle w:val="Tabellenraster"/>
        <w:tblW w:w="0" w:type="auto"/>
        <w:tblInd w:w="357" w:type="dxa"/>
        <w:tblLook w:val="04A0" w:firstRow="1" w:lastRow="0" w:firstColumn="1" w:lastColumn="0" w:noHBand="0" w:noVBand="1"/>
      </w:tblPr>
      <w:tblGrid>
        <w:gridCol w:w="1456"/>
        <w:gridCol w:w="875"/>
        <w:gridCol w:w="571"/>
        <w:gridCol w:w="1446"/>
        <w:gridCol w:w="681"/>
        <w:gridCol w:w="2222"/>
        <w:gridCol w:w="1454"/>
      </w:tblGrid>
      <w:tr w:rsidR="000263AC" w:rsidRPr="000263AC" w:rsidTr="000263AC">
        <w:tc>
          <w:tcPr>
            <w:tcW w:w="1456" w:type="dxa"/>
            <w:tcBorders>
              <w:top w:val="single" w:sz="4" w:space="0" w:color="auto"/>
              <w:left w:val="single" w:sz="4" w:space="0" w:color="auto"/>
              <w:right w:val="nil"/>
            </w:tcBorders>
          </w:tcPr>
          <w:p w:rsidR="000263AC" w:rsidRPr="000263AC" w:rsidRDefault="000263AC" w:rsidP="00E20C5A">
            <w:pPr>
              <w:jc w:val="both"/>
              <w:rPr>
                <w:rFonts w:cs="Arial"/>
                <w:b/>
              </w:rPr>
            </w:pPr>
            <w:r w:rsidRPr="000263AC">
              <w:rPr>
                <w:rFonts w:cs="Arial"/>
                <w:b/>
              </w:rPr>
              <w:t>A</w:t>
            </w:r>
          </w:p>
        </w:tc>
        <w:tc>
          <w:tcPr>
            <w:tcW w:w="5795" w:type="dxa"/>
            <w:gridSpan w:val="5"/>
            <w:tcBorders>
              <w:top w:val="single" w:sz="4" w:space="0" w:color="auto"/>
              <w:left w:val="nil"/>
              <w:right w:val="nil"/>
            </w:tcBorders>
          </w:tcPr>
          <w:p w:rsidR="000263AC" w:rsidRPr="000263AC" w:rsidRDefault="000263AC" w:rsidP="000263AC">
            <w:pPr>
              <w:jc w:val="center"/>
              <w:rPr>
                <w:rFonts w:cs="Arial"/>
                <w:b/>
              </w:rPr>
            </w:pPr>
            <w:r w:rsidRPr="000263AC">
              <w:rPr>
                <w:rFonts w:cs="Arial"/>
                <w:b/>
              </w:rPr>
              <w:t>Bilanz vor Bewertung</w:t>
            </w:r>
          </w:p>
        </w:tc>
        <w:tc>
          <w:tcPr>
            <w:tcW w:w="1454" w:type="dxa"/>
            <w:tcBorders>
              <w:left w:val="nil"/>
            </w:tcBorders>
          </w:tcPr>
          <w:p w:rsidR="000263AC" w:rsidRPr="000263AC" w:rsidRDefault="000263AC" w:rsidP="00DB69D5">
            <w:pPr>
              <w:jc w:val="right"/>
              <w:rPr>
                <w:rFonts w:cs="Arial"/>
                <w:b/>
              </w:rPr>
            </w:pPr>
            <w:r w:rsidRPr="000263AC">
              <w:rPr>
                <w:rFonts w:cs="Arial"/>
                <w:b/>
              </w:rPr>
              <w:t>P</w:t>
            </w:r>
          </w:p>
        </w:tc>
      </w:tr>
      <w:tr w:rsidR="000263AC" w:rsidTr="000263AC">
        <w:tc>
          <w:tcPr>
            <w:tcW w:w="2331" w:type="dxa"/>
            <w:gridSpan w:val="2"/>
            <w:tcBorders>
              <w:left w:val="single" w:sz="4" w:space="0" w:color="auto"/>
              <w:bottom w:val="nil"/>
              <w:right w:val="nil"/>
            </w:tcBorders>
          </w:tcPr>
          <w:p w:rsidR="00DB69D5" w:rsidRPr="00DB69D5" w:rsidRDefault="00DB69D5" w:rsidP="00E20C5A">
            <w:pPr>
              <w:jc w:val="both"/>
              <w:rPr>
                <w:rFonts w:cs="Arial"/>
              </w:rPr>
            </w:pPr>
          </w:p>
        </w:tc>
        <w:tc>
          <w:tcPr>
            <w:tcW w:w="571" w:type="dxa"/>
            <w:tcBorders>
              <w:left w:val="nil"/>
              <w:bottom w:val="nil"/>
              <w:right w:val="nil"/>
            </w:tcBorders>
          </w:tcPr>
          <w:p w:rsidR="00DB69D5" w:rsidRPr="00DB69D5" w:rsidRDefault="00DB69D5" w:rsidP="00E20C5A">
            <w:pPr>
              <w:jc w:val="both"/>
              <w:rPr>
                <w:rFonts w:cs="Arial"/>
              </w:rPr>
            </w:pPr>
          </w:p>
        </w:tc>
        <w:tc>
          <w:tcPr>
            <w:tcW w:w="1446" w:type="dxa"/>
            <w:tcBorders>
              <w:left w:val="nil"/>
              <w:bottom w:val="nil"/>
              <w:right w:val="single" w:sz="4" w:space="0" w:color="auto"/>
            </w:tcBorders>
          </w:tcPr>
          <w:p w:rsidR="00DB69D5" w:rsidRPr="00DB69D5" w:rsidRDefault="00DB69D5" w:rsidP="00E20C5A">
            <w:pPr>
              <w:jc w:val="both"/>
              <w:rPr>
                <w:rFonts w:cs="Arial"/>
              </w:rPr>
            </w:pPr>
          </w:p>
        </w:tc>
        <w:tc>
          <w:tcPr>
            <w:tcW w:w="681" w:type="dxa"/>
            <w:tcBorders>
              <w:top w:val="nil"/>
              <w:left w:val="single" w:sz="4" w:space="0" w:color="auto"/>
              <w:bottom w:val="nil"/>
              <w:right w:val="nil"/>
            </w:tcBorders>
          </w:tcPr>
          <w:p w:rsidR="00DB69D5" w:rsidRPr="00DB69D5" w:rsidRDefault="00DB69D5" w:rsidP="00E20C5A">
            <w:pPr>
              <w:jc w:val="both"/>
              <w:rPr>
                <w:rFonts w:cs="Arial"/>
              </w:rPr>
            </w:pPr>
          </w:p>
        </w:tc>
        <w:tc>
          <w:tcPr>
            <w:tcW w:w="2222" w:type="dxa"/>
            <w:tcBorders>
              <w:top w:val="nil"/>
              <w:left w:val="nil"/>
              <w:bottom w:val="nil"/>
              <w:right w:val="nil"/>
            </w:tcBorders>
          </w:tcPr>
          <w:p w:rsidR="00DB69D5" w:rsidRPr="00DB69D5" w:rsidRDefault="00DB69D5" w:rsidP="00E20C5A">
            <w:pPr>
              <w:jc w:val="both"/>
              <w:rPr>
                <w:rFonts w:cs="Arial"/>
              </w:rPr>
            </w:pPr>
          </w:p>
        </w:tc>
        <w:tc>
          <w:tcPr>
            <w:tcW w:w="1454" w:type="dxa"/>
            <w:tcBorders>
              <w:top w:val="nil"/>
              <w:left w:val="nil"/>
              <w:bottom w:val="nil"/>
            </w:tcBorders>
          </w:tcPr>
          <w:p w:rsidR="00DB69D5" w:rsidRPr="00DB69D5" w:rsidRDefault="00DB69D5" w:rsidP="00E20C5A">
            <w:pPr>
              <w:jc w:val="both"/>
              <w:rPr>
                <w:rFonts w:cs="Arial"/>
              </w:rPr>
            </w:pPr>
          </w:p>
        </w:tc>
      </w:tr>
      <w:tr w:rsidR="000263AC" w:rsidTr="000263AC">
        <w:tc>
          <w:tcPr>
            <w:tcW w:w="2331" w:type="dxa"/>
            <w:gridSpan w:val="2"/>
            <w:tcBorders>
              <w:top w:val="nil"/>
              <w:left w:val="single" w:sz="4" w:space="0" w:color="auto"/>
              <w:bottom w:val="nil"/>
              <w:right w:val="nil"/>
            </w:tcBorders>
          </w:tcPr>
          <w:p w:rsidR="000263AC" w:rsidRPr="00DB69D5" w:rsidRDefault="000263AC" w:rsidP="00E20C5A">
            <w:pPr>
              <w:jc w:val="both"/>
              <w:rPr>
                <w:rFonts w:cs="Arial"/>
              </w:rPr>
            </w:pPr>
            <w:r>
              <w:rPr>
                <w:rFonts w:cs="Arial"/>
              </w:rPr>
              <w:t>Anlagevermögen</w:t>
            </w:r>
          </w:p>
        </w:tc>
        <w:tc>
          <w:tcPr>
            <w:tcW w:w="571" w:type="dxa"/>
            <w:tcBorders>
              <w:top w:val="nil"/>
              <w:left w:val="nil"/>
              <w:bottom w:val="nil"/>
              <w:right w:val="nil"/>
            </w:tcBorders>
          </w:tcPr>
          <w:p w:rsidR="000263AC" w:rsidRPr="00DB69D5" w:rsidRDefault="000263AC" w:rsidP="00E20C5A">
            <w:pPr>
              <w:jc w:val="both"/>
              <w:rPr>
                <w:rFonts w:cs="Arial"/>
              </w:rPr>
            </w:pPr>
          </w:p>
        </w:tc>
        <w:tc>
          <w:tcPr>
            <w:tcW w:w="1446" w:type="dxa"/>
            <w:tcBorders>
              <w:top w:val="nil"/>
              <w:left w:val="nil"/>
              <w:bottom w:val="nil"/>
              <w:right w:val="single" w:sz="4" w:space="0" w:color="auto"/>
            </w:tcBorders>
          </w:tcPr>
          <w:p w:rsidR="000263AC" w:rsidRPr="00DB69D5" w:rsidRDefault="000263AC" w:rsidP="000263AC">
            <w:pPr>
              <w:jc w:val="right"/>
              <w:rPr>
                <w:rFonts w:cs="Arial"/>
              </w:rPr>
            </w:pPr>
            <w:r>
              <w:rPr>
                <w:rFonts w:cs="Arial"/>
              </w:rPr>
              <w:t xml:space="preserve">0 </w:t>
            </w:r>
            <w:r w:rsidR="00FA5A72">
              <w:rPr>
                <w:rFonts w:cs="Arial"/>
              </w:rPr>
              <w:t>T</w:t>
            </w:r>
            <w:r>
              <w:rPr>
                <w:rFonts w:cs="Arial"/>
              </w:rPr>
              <w:t>€</w:t>
            </w:r>
          </w:p>
        </w:tc>
        <w:tc>
          <w:tcPr>
            <w:tcW w:w="681" w:type="dxa"/>
            <w:tcBorders>
              <w:top w:val="nil"/>
              <w:left w:val="single" w:sz="4" w:space="0" w:color="auto"/>
              <w:bottom w:val="nil"/>
              <w:right w:val="nil"/>
            </w:tcBorders>
          </w:tcPr>
          <w:p w:rsidR="000263AC" w:rsidRPr="00DB69D5" w:rsidRDefault="000263AC" w:rsidP="00E20C5A">
            <w:pPr>
              <w:jc w:val="both"/>
              <w:rPr>
                <w:rFonts w:cs="Arial"/>
              </w:rPr>
            </w:pPr>
            <w:r>
              <w:rPr>
                <w:rFonts w:cs="Arial"/>
              </w:rPr>
              <w:t>EK</w:t>
            </w:r>
          </w:p>
        </w:tc>
        <w:tc>
          <w:tcPr>
            <w:tcW w:w="2222" w:type="dxa"/>
            <w:tcBorders>
              <w:top w:val="nil"/>
              <w:left w:val="nil"/>
              <w:bottom w:val="nil"/>
              <w:right w:val="nil"/>
            </w:tcBorders>
          </w:tcPr>
          <w:p w:rsidR="000263AC" w:rsidRPr="00DB69D5" w:rsidRDefault="000263AC" w:rsidP="00E20C5A">
            <w:pPr>
              <w:jc w:val="both"/>
              <w:rPr>
                <w:rFonts w:cs="Arial"/>
              </w:rPr>
            </w:pPr>
            <w:r>
              <w:rPr>
                <w:rFonts w:cs="Arial"/>
              </w:rPr>
              <w:t>Kapitalstock</w:t>
            </w:r>
          </w:p>
        </w:tc>
        <w:tc>
          <w:tcPr>
            <w:tcW w:w="1454" w:type="dxa"/>
            <w:tcBorders>
              <w:top w:val="nil"/>
              <w:left w:val="nil"/>
              <w:bottom w:val="nil"/>
            </w:tcBorders>
          </w:tcPr>
          <w:p w:rsidR="000263AC" w:rsidRPr="00DB69D5" w:rsidRDefault="00FA5A72" w:rsidP="000263AC">
            <w:pPr>
              <w:jc w:val="right"/>
              <w:rPr>
                <w:rFonts w:cs="Arial"/>
              </w:rPr>
            </w:pPr>
            <w:r>
              <w:rPr>
                <w:rFonts w:cs="Arial"/>
              </w:rPr>
              <w:t>100 T€</w:t>
            </w:r>
          </w:p>
        </w:tc>
      </w:tr>
      <w:tr w:rsidR="000263AC" w:rsidTr="000263AC">
        <w:tc>
          <w:tcPr>
            <w:tcW w:w="2331" w:type="dxa"/>
            <w:gridSpan w:val="2"/>
            <w:tcBorders>
              <w:top w:val="nil"/>
              <w:left w:val="single" w:sz="4" w:space="0" w:color="auto"/>
              <w:bottom w:val="nil"/>
              <w:right w:val="nil"/>
            </w:tcBorders>
          </w:tcPr>
          <w:p w:rsidR="000263AC" w:rsidRPr="00DB69D5" w:rsidRDefault="000263AC" w:rsidP="00E20C5A">
            <w:pPr>
              <w:jc w:val="both"/>
              <w:rPr>
                <w:rFonts w:cs="Arial"/>
              </w:rPr>
            </w:pPr>
          </w:p>
        </w:tc>
        <w:tc>
          <w:tcPr>
            <w:tcW w:w="571" w:type="dxa"/>
            <w:tcBorders>
              <w:top w:val="nil"/>
              <w:left w:val="nil"/>
              <w:bottom w:val="nil"/>
              <w:right w:val="nil"/>
            </w:tcBorders>
          </w:tcPr>
          <w:p w:rsidR="000263AC" w:rsidRPr="00DB69D5" w:rsidRDefault="000263AC" w:rsidP="00E20C5A">
            <w:pPr>
              <w:jc w:val="both"/>
              <w:rPr>
                <w:rFonts w:cs="Arial"/>
              </w:rPr>
            </w:pPr>
          </w:p>
        </w:tc>
        <w:tc>
          <w:tcPr>
            <w:tcW w:w="1446" w:type="dxa"/>
            <w:tcBorders>
              <w:top w:val="nil"/>
              <w:left w:val="nil"/>
              <w:bottom w:val="nil"/>
              <w:right w:val="single" w:sz="4" w:space="0" w:color="auto"/>
            </w:tcBorders>
          </w:tcPr>
          <w:p w:rsidR="000263AC" w:rsidRPr="00DB69D5" w:rsidRDefault="000263AC" w:rsidP="000263AC">
            <w:pPr>
              <w:jc w:val="right"/>
              <w:rPr>
                <w:rFonts w:cs="Arial"/>
              </w:rPr>
            </w:pPr>
          </w:p>
        </w:tc>
        <w:tc>
          <w:tcPr>
            <w:tcW w:w="681" w:type="dxa"/>
            <w:tcBorders>
              <w:top w:val="nil"/>
              <w:left w:val="single" w:sz="4" w:space="0" w:color="auto"/>
              <w:bottom w:val="nil"/>
              <w:right w:val="nil"/>
            </w:tcBorders>
          </w:tcPr>
          <w:p w:rsidR="000263AC" w:rsidRPr="00DB69D5" w:rsidRDefault="000263AC" w:rsidP="00E20C5A">
            <w:pPr>
              <w:jc w:val="both"/>
              <w:rPr>
                <w:rFonts w:cs="Arial"/>
              </w:rPr>
            </w:pPr>
          </w:p>
        </w:tc>
        <w:tc>
          <w:tcPr>
            <w:tcW w:w="2222" w:type="dxa"/>
            <w:tcBorders>
              <w:top w:val="nil"/>
              <w:left w:val="nil"/>
              <w:bottom w:val="nil"/>
              <w:right w:val="nil"/>
            </w:tcBorders>
          </w:tcPr>
          <w:p w:rsidR="000263AC" w:rsidRPr="00DB69D5" w:rsidRDefault="000263AC" w:rsidP="00E20C5A">
            <w:pPr>
              <w:jc w:val="both"/>
              <w:rPr>
                <w:rFonts w:cs="Arial"/>
              </w:rPr>
            </w:pPr>
            <w:r>
              <w:rPr>
                <w:rFonts w:cs="Arial"/>
              </w:rPr>
              <w:t>Rücklagen</w:t>
            </w:r>
          </w:p>
        </w:tc>
        <w:tc>
          <w:tcPr>
            <w:tcW w:w="1454" w:type="dxa"/>
            <w:tcBorders>
              <w:top w:val="nil"/>
              <w:left w:val="nil"/>
              <w:bottom w:val="nil"/>
            </w:tcBorders>
          </w:tcPr>
          <w:p w:rsidR="000263AC" w:rsidRPr="00DB69D5" w:rsidRDefault="00FA5A72" w:rsidP="000263AC">
            <w:pPr>
              <w:jc w:val="right"/>
              <w:rPr>
                <w:rFonts w:cs="Arial"/>
              </w:rPr>
            </w:pPr>
            <w:r>
              <w:rPr>
                <w:rFonts w:cs="Arial"/>
              </w:rPr>
              <w:t>20 T€</w:t>
            </w:r>
          </w:p>
        </w:tc>
      </w:tr>
      <w:tr w:rsidR="000263AC" w:rsidTr="000263AC">
        <w:tc>
          <w:tcPr>
            <w:tcW w:w="2331" w:type="dxa"/>
            <w:gridSpan w:val="2"/>
            <w:tcBorders>
              <w:top w:val="nil"/>
              <w:left w:val="single" w:sz="4" w:space="0" w:color="auto"/>
              <w:bottom w:val="nil"/>
              <w:right w:val="nil"/>
            </w:tcBorders>
          </w:tcPr>
          <w:p w:rsidR="00DB69D5" w:rsidRPr="00DB69D5" w:rsidRDefault="000263AC" w:rsidP="00E20C5A">
            <w:pPr>
              <w:jc w:val="both"/>
              <w:rPr>
                <w:rFonts w:cs="Arial"/>
              </w:rPr>
            </w:pPr>
            <w:r>
              <w:rPr>
                <w:rFonts w:cs="Arial"/>
              </w:rPr>
              <w:t>Umlaufvermögen</w:t>
            </w:r>
          </w:p>
        </w:tc>
        <w:tc>
          <w:tcPr>
            <w:tcW w:w="571" w:type="dxa"/>
            <w:tcBorders>
              <w:top w:val="nil"/>
              <w:left w:val="nil"/>
              <w:bottom w:val="nil"/>
              <w:right w:val="nil"/>
            </w:tcBorders>
          </w:tcPr>
          <w:p w:rsidR="00DB69D5" w:rsidRPr="00DB69D5" w:rsidRDefault="00DB69D5" w:rsidP="00E20C5A">
            <w:pPr>
              <w:jc w:val="both"/>
              <w:rPr>
                <w:rFonts w:cs="Arial"/>
              </w:rPr>
            </w:pPr>
          </w:p>
        </w:tc>
        <w:tc>
          <w:tcPr>
            <w:tcW w:w="1446" w:type="dxa"/>
            <w:tcBorders>
              <w:top w:val="nil"/>
              <w:left w:val="nil"/>
              <w:bottom w:val="nil"/>
              <w:right w:val="single" w:sz="4" w:space="0" w:color="auto"/>
            </w:tcBorders>
          </w:tcPr>
          <w:p w:rsidR="00DB69D5" w:rsidRPr="00DB69D5" w:rsidRDefault="00FA5A72" w:rsidP="000263AC">
            <w:pPr>
              <w:jc w:val="right"/>
              <w:rPr>
                <w:rFonts w:cs="Arial"/>
              </w:rPr>
            </w:pPr>
            <w:r>
              <w:rPr>
                <w:rFonts w:cs="Arial"/>
              </w:rPr>
              <w:t>120 T€</w:t>
            </w:r>
          </w:p>
        </w:tc>
        <w:tc>
          <w:tcPr>
            <w:tcW w:w="681" w:type="dxa"/>
            <w:tcBorders>
              <w:top w:val="nil"/>
              <w:left w:val="single" w:sz="4" w:space="0" w:color="auto"/>
              <w:bottom w:val="nil"/>
              <w:right w:val="nil"/>
            </w:tcBorders>
          </w:tcPr>
          <w:p w:rsidR="00DB69D5" w:rsidRPr="00DB69D5" w:rsidRDefault="00DB69D5" w:rsidP="00E20C5A">
            <w:pPr>
              <w:jc w:val="both"/>
              <w:rPr>
                <w:rFonts w:cs="Arial"/>
              </w:rPr>
            </w:pPr>
          </w:p>
        </w:tc>
        <w:tc>
          <w:tcPr>
            <w:tcW w:w="2222" w:type="dxa"/>
            <w:tcBorders>
              <w:top w:val="nil"/>
              <w:left w:val="nil"/>
              <w:bottom w:val="nil"/>
              <w:right w:val="nil"/>
            </w:tcBorders>
          </w:tcPr>
          <w:p w:rsidR="00DB69D5" w:rsidRPr="00DB69D5" w:rsidRDefault="000263AC" w:rsidP="00E20C5A">
            <w:pPr>
              <w:jc w:val="both"/>
              <w:rPr>
                <w:rFonts w:cs="Arial"/>
              </w:rPr>
            </w:pPr>
            <w:r>
              <w:rPr>
                <w:rFonts w:cs="Arial"/>
              </w:rPr>
              <w:t>Ergebnisvortrag</w:t>
            </w:r>
          </w:p>
        </w:tc>
        <w:tc>
          <w:tcPr>
            <w:tcW w:w="1454" w:type="dxa"/>
            <w:tcBorders>
              <w:top w:val="nil"/>
              <w:left w:val="nil"/>
              <w:bottom w:val="nil"/>
            </w:tcBorders>
          </w:tcPr>
          <w:p w:rsidR="00DB69D5" w:rsidRPr="00DB69D5" w:rsidRDefault="00FA5A72" w:rsidP="000263AC">
            <w:pPr>
              <w:jc w:val="right"/>
              <w:rPr>
                <w:rFonts w:cs="Arial"/>
              </w:rPr>
            </w:pPr>
            <w:r>
              <w:rPr>
                <w:rFonts w:cs="Arial"/>
              </w:rPr>
              <w:t>0 T€</w:t>
            </w:r>
          </w:p>
        </w:tc>
      </w:tr>
      <w:tr w:rsidR="000263AC" w:rsidTr="000263AC">
        <w:tc>
          <w:tcPr>
            <w:tcW w:w="2331" w:type="dxa"/>
            <w:gridSpan w:val="2"/>
            <w:tcBorders>
              <w:top w:val="nil"/>
              <w:left w:val="single" w:sz="4" w:space="0" w:color="auto"/>
              <w:bottom w:val="nil"/>
              <w:right w:val="nil"/>
            </w:tcBorders>
          </w:tcPr>
          <w:p w:rsidR="000263AC" w:rsidRPr="00DB69D5" w:rsidRDefault="000263AC" w:rsidP="00E20C5A">
            <w:pPr>
              <w:jc w:val="both"/>
              <w:rPr>
                <w:rFonts w:cs="Arial"/>
              </w:rPr>
            </w:pPr>
          </w:p>
        </w:tc>
        <w:tc>
          <w:tcPr>
            <w:tcW w:w="571" w:type="dxa"/>
            <w:tcBorders>
              <w:top w:val="nil"/>
              <w:left w:val="nil"/>
              <w:bottom w:val="nil"/>
              <w:right w:val="nil"/>
            </w:tcBorders>
          </w:tcPr>
          <w:p w:rsidR="000263AC" w:rsidRPr="00DB69D5" w:rsidRDefault="000263AC" w:rsidP="00E20C5A">
            <w:pPr>
              <w:jc w:val="both"/>
              <w:rPr>
                <w:rFonts w:cs="Arial"/>
              </w:rPr>
            </w:pPr>
          </w:p>
        </w:tc>
        <w:tc>
          <w:tcPr>
            <w:tcW w:w="1446" w:type="dxa"/>
            <w:tcBorders>
              <w:top w:val="nil"/>
              <w:left w:val="nil"/>
              <w:bottom w:val="nil"/>
              <w:right w:val="single" w:sz="4" w:space="0" w:color="auto"/>
            </w:tcBorders>
          </w:tcPr>
          <w:p w:rsidR="000263AC" w:rsidRPr="00DB69D5" w:rsidRDefault="000263AC" w:rsidP="000263AC">
            <w:pPr>
              <w:jc w:val="right"/>
              <w:rPr>
                <w:rFonts w:cs="Arial"/>
              </w:rPr>
            </w:pPr>
          </w:p>
        </w:tc>
        <w:tc>
          <w:tcPr>
            <w:tcW w:w="2903" w:type="dxa"/>
            <w:gridSpan w:val="2"/>
            <w:tcBorders>
              <w:top w:val="nil"/>
              <w:left w:val="single" w:sz="4" w:space="0" w:color="auto"/>
              <w:bottom w:val="nil"/>
              <w:right w:val="nil"/>
            </w:tcBorders>
          </w:tcPr>
          <w:p w:rsidR="000263AC" w:rsidRPr="00DB69D5" w:rsidRDefault="000263AC" w:rsidP="00E20C5A">
            <w:pPr>
              <w:jc w:val="both"/>
              <w:rPr>
                <w:rFonts w:cs="Arial"/>
              </w:rPr>
            </w:pPr>
            <w:r>
              <w:rPr>
                <w:rFonts w:cs="Arial"/>
              </w:rPr>
              <w:t>Sonderposten</w:t>
            </w:r>
          </w:p>
        </w:tc>
        <w:tc>
          <w:tcPr>
            <w:tcW w:w="1454" w:type="dxa"/>
            <w:tcBorders>
              <w:top w:val="nil"/>
              <w:left w:val="nil"/>
              <w:bottom w:val="nil"/>
            </w:tcBorders>
          </w:tcPr>
          <w:p w:rsidR="000263AC" w:rsidRPr="00DB69D5" w:rsidRDefault="00FA5A72" w:rsidP="000263AC">
            <w:pPr>
              <w:jc w:val="right"/>
              <w:rPr>
                <w:rFonts w:cs="Arial"/>
              </w:rPr>
            </w:pPr>
            <w:r>
              <w:rPr>
                <w:rFonts w:cs="Arial"/>
              </w:rPr>
              <w:t>0 T€</w:t>
            </w:r>
          </w:p>
        </w:tc>
      </w:tr>
      <w:tr w:rsidR="000263AC" w:rsidTr="00D62C38">
        <w:tc>
          <w:tcPr>
            <w:tcW w:w="2331" w:type="dxa"/>
            <w:gridSpan w:val="2"/>
            <w:tcBorders>
              <w:top w:val="nil"/>
              <w:left w:val="single" w:sz="4" w:space="0" w:color="auto"/>
              <w:bottom w:val="single" w:sz="4" w:space="0" w:color="auto"/>
              <w:right w:val="nil"/>
            </w:tcBorders>
          </w:tcPr>
          <w:p w:rsidR="000263AC" w:rsidRDefault="000263AC" w:rsidP="00E20C5A">
            <w:pPr>
              <w:jc w:val="both"/>
              <w:rPr>
                <w:rFonts w:cs="Arial"/>
              </w:rPr>
            </w:pPr>
            <w:r>
              <w:rPr>
                <w:rFonts w:cs="Arial"/>
              </w:rPr>
              <w:t>Übrige Aktiva</w:t>
            </w:r>
          </w:p>
        </w:tc>
        <w:tc>
          <w:tcPr>
            <w:tcW w:w="571" w:type="dxa"/>
            <w:tcBorders>
              <w:top w:val="nil"/>
              <w:left w:val="nil"/>
              <w:bottom w:val="single" w:sz="4" w:space="0" w:color="auto"/>
              <w:right w:val="nil"/>
            </w:tcBorders>
          </w:tcPr>
          <w:p w:rsidR="000263AC" w:rsidRPr="00DB69D5" w:rsidRDefault="000263AC" w:rsidP="00E20C5A">
            <w:pPr>
              <w:jc w:val="both"/>
              <w:rPr>
                <w:rFonts w:cs="Arial"/>
              </w:rPr>
            </w:pPr>
          </w:p>
        </w:tc>
        <w:tc>
          <w:tcPr>
            <w:tcW w:w="1446" w:type="dxa"/>
            <w:tcBorders>
              <w:top w:val="nil"/>
              <w:left w:val="nil"/>
              <w:bottom w:val="single" w:sz="4" w:space="0" w:color="auto"/>
              <w:right w:val="single" w:sz="4" w:space="0" w:color="auto"/>
            </w:tcBorders>
          </w:tcPr>
          <w:p w:rsidR="000263AC" w:rsidRPr="00DB69D5" w:rsidRDefault="00FA5A72" w:rsidP="000263AC">
            <w:pPr>
              <w:jc w:val="right"/>
              <w:rPr>
                <w:rFonts w:cs="Arial"/>
              </w:rPr>
            </w:pPr>
            <w:r>
              <w:rPr>
                <w:rFonts w:cs="Arial"/>
              </w:rPr>
              <w:t>0 T€</w:t>
            </w:r>
          </w:p>
        </w:tc>
        <w:tc>
          <w:tcPr>
            <w:tcW w:w="2903" w:type="dxa"/>
            <w:gridSpan w:val="2"/>
            <w:tcBorders>
              <w:top w:val="nil"/>
              <w:left w:val="single" w:sz="4" w:space="0" w:color="auto"/>
              <w:right w:val="nil"/>
            </w:tcBorders>
          </w:tcPr>
          <w:p w:rsidR="000263AC" w:rsidRPr="00DB69D5" w:rsidRDefault="000263AC" w:rsidP="00E20C5A">
            <w:pPr>
              <w:jc w:val="both"/>
              <w:rPr>
                <w:rFonts w:cs="Arial"/>
              </w:rPr>
            </w:pPr>
            <w:r>
              <w:rPr>
                <w:rFonts w:cs="Arial"/>
              </w:rPr>
              <w:t>Übrige Passiva</w:t>
            </w:r>
          </w:p>
        </w:tc>
        <w:tc>
          <w:tcPr>
            <w:tcW w:w="1454" w:type="dxa"/>
            <w:tcBorders>
              <w:top w:val="nil"/>
              <w:left w:val="nil"/>
            </w:tcBorders>
          </w:tcPr>
          <w:p w:rsidR="000263AC" w:rsidRPr="00DB69D5" w:rsidRDefault="00FA5A72" w:rsidP="000263AC">
            <w:pPr>
              <w:jc w:val="right"/>
              <w:rPr>
                <w:rFonts w:cs="Arial"/>
              </w:rPr>
            </w:pPr>
            <w:r>
              <w:rPr>
                <w:rFonts w:cs="Arial"/>
              </w:rPr>
              <w:t>0 T€</w:t>
            </w:r>
          </w:p>
        </w:tc>
      </w:tr>
      <w:tr w:rsidR="000263AC" w:rsidTr="000263AC">
        <w:tc>
          <w:tcPr>
            <w:tcW w:w="2331" w:type="dxa"/>
            <w:gridSpan w:val="2"/>
            <w:tcBorders>
              <w:top w:val="nil"/>
              <w:left w:val="single" w:sz="4" w:space="0" w:color="auto"/>
              <w:bottom w:val="single" w:sz="4" w:space="0" w:color="auto"/>
              <w:right w:val="nil"/>
            </w:tcBorders>
          </w:tcPr>
          <w:p w:rsidR="00DB69D5" w:rsidRPr="00DB69D5" w:rsidRDefault="00DB69D5" w:rsidP="00FA5A72">
            <w:pPr>
              <w:jc w:val="right"/>
              <w:rPr>
                <w:rFonts w:cs="Arial"/>
              </w:rPr>
            </w:pPr>
          </w:p>
        </w:tc>
        <w:tc>
          <w:tcPr>
            <w:tcW w:w="571" w:type="dxa"/>
            <w:tcBorders>
              <w:top w:val="nil"/>
              <w:left w:val="nil"/>
              <w:bottom w:val="single" w:sz="4" w:space="0" w:color="auto"/>
              <w:right w:val="nil"/>
            </w:tcBorders>
          </w:tcPr>
          <w:p w:rsidR="00DB69D5" w:rsidRPr="00DB69D5" w:rsidRDefault="00DB69D5" w:rsidP="00FA5A72">
            <w:pPr>
              <w:jc w:val="right"/>
              <w:rPr>
                <w:rFonts w:cs="Arial"/>
              </w:rPr>
            </w:pPr>
          </w:p>
        </w:tc>
        <w:tc>
          <w:tcPr>
            <w:tcW w:w="1446" w:type="dxa"/>
            <w:tcBorders>
              <w:top w:val="nil"/>
              <w:left w:val="nil"/>
              <w:bottom w:val="single" w:sz="4" w:space="0" w:color="auto"/>
              <w:right w:val="single" w:sz="4" w:space="0" w:color="auto"/>
            </w:tcBorders>
          </w:tcPr>
          <w:p w:rsidR="00DB69D5" w:rsidRPr="00DB69D5" w:rsidRDefault="00FA5A72" w:rsidP="00FA5A72">
            <w:pPr>
              <w:jc w:val="right"/>
              <w:rPr>
                <w:rFonts w:cs="Arial"/>
              </w:rPr>
            </w:pPr>
            <w:r>
              <w:rPr>
                <w:rFonts w:cs="Arial"/>
              </w:rPr>
              <w:t>120 T€</w:t>
            </w:r>
          </w:p>
        </w:tc>
        <w:tc>
          <w:tcPr>
            <w:tcW w:w="681" w:type="dxa"/>
            <w:tcBorders>
              <w:top w:val="nil"/>
              <w:left w:val="single" w:sz="4" w:space="0" w:color="auto"/>
              <w:right w:val="nil"/>
            </w:tcBorders>
          </w:tcPr>
          <w:p w:rsidR="00DB69D5" w:rsidRPr="00DB69D5" w:rsidRDefault="00DB69D5" w:rsidP="00FA5A72">
            <w:pPr>
              <w:jc w:val="right"/>
              <w:rPr>
                <w:rFonts w:cs="Arial"/>
              </w:rPr>
            </w:pPr>
          </w:p>
        </w:tc>
        <w:tc>
          <w:tcPr>
            <w:tcW w:w="2222" w:type="dxa"/>
            <w:tcBorders>
              <w:top w:val="nil"/>
              <w:left w:val="nil"/>
              <w:right w:val="nil"/>
            </w:tcBorders>
          </w:tcPr>
          <w:p w:rsidR="00DB69D5" w:rsidRPr="00DB69D5" w:rsidRDefault="00DB69D5" w:rsidP="00FA5A72">
            <w:pPr>
              <w:jc w:val="right"/>
              <w:rPr>
                <w:rFonts w:cs="Arial"/>
              </w:rPr>
            </w:pPr>
          </w:p>
        </w:tc>
        <w:tc>
          <w:tcPr>
            <w:tcW w:w="1454" w:type="dxa"/>
            <w:tcBorders>
              <w:top w:val="nil"/>
              <w:left w:val="nil"/>
            </w:tcBorders>
          </w:tcPr>
          <w:p w:rsidR="00DB69D5" w:rsidRPr="00DB69D5" w:rsidRDefault="00FA5A72" w:rsidP="00FA5A72">
            <w:pPr>
              <w:jc w:val="right"/>
              <w:rPr>
                <w:rFonts w:cs="Arial"/>
              </w:rPr>
            </w:pPr>
            <w:r>
              <w:rPr>
                <w:rFonts w:cs="Arial"/>
              </w:rPr>
              <w:t>120 T€</w:t>
            </w:r>
          </w:p>
        </w:tc>
      </w:tr>
    </w:tbl>
    <w:p w:rsidR="007A6B1C" w:rsidRDefault="007A6B1C" w:rsidP="00E20C5A">
      <w:pPr>
        <w:ind w:left="357"/>
        <w:jc w:val="both"/>
        <w:rPr>
          <w:rFonts w:cs="Arial"/>
          <w:u w:val="single"/>
        </w:rPr>
      </w:pPr>
    </w:p>
    <w:p w:rsidR="00FA5A72" w:rsidRPr="00FA5A72" w:rsidRDefault="004C7560" w:rsidP="00FA5A72">
      <w:pPr>
        <w:ind w:left="357"/>
        <w:jc w:val="both"/>
        <w:rPr>
          <w:rFonts w:cs="Arial"/>
        </w:rPr>
      </w:pPr>
      <w:r>
        <w:rPr>
          <w:rFonts w:cs="Arial"/>
        </w:rPr>
        <w:t xml:space="preserve">Die Bilanzierung </w:t>
      </w:r>
      <w:r w:rsidR="00FA5A72">
        <w:rPr>
          <w:rFonts w:cs="Arial"/>
        </w:rPr>
        <w:t>des Gebäudes führt auf der Aktivseite zu einer Erhöhung des Anlagevermögens, auf der Passivseite erhöht sich der Kapitalstock um den Eigenanteil der Kirchengemeinde (60% bzw. 120.000 €) und der Sonderposten als Ausweis des Zuschusses des EGV (40</w:t>
      </w:r>
      <w:r w:rsidR="00CF010D">
        <w:rPr>
          <w:rFonts w:cs="Arial"/>
        </w:rPr>
        <w:t>%</w:t>
      </w:r>
      <w:r w:rsidR="00FA5A72">
        <w:rPr>
          <w:rFonts w:cs="Arial"/>
        </w:rPr>
        <w:t xml:space="preserve"> bzw. 80.000 €).</w:t>
      </w:r>
    </w:p>
    <w:tbl>
      <w:tblPr>
        <w:tblStyle w:val="Tabellenraster"/>
        <w:tblW w:w="0" w:type="auto"/>
        <w:tblInd w:w="357" w:type="dxa"/>
        <w:tblLook w:val="04A0" w:firstRow="1" w:lastRow="0" w:firstColumn="1" w:lastColumn="0" w:noHBand="0" w:noVBand="1"/>
      </w:tblPr>
      <w:tblGrid>
        <w:gridCol w:w="1456"/>
        <w:gridCol w:w="875"/>
        <w:gridCol w:w="571"/>
        <w:gridCol w:w="1446"/>
        <w:gridCol w:w="681"/>
        <w:gridCol w:w="2222"/>
        <w:gridCol w:w="1454"/>
      </w:tblGrid>
      <w:tr w:rsidR="00FA5A72" w:rsidRPr="000263AC" w:rsidTr="008757FF">
        <w:tc>
          <w:tcPr>
            <w:tcW w:w="1456" w:type="dxa"/>
            <w:tcBorders>
              <w:top w:val="single" w:sz="4" w:space="0" w:color="auto"/>
              <w:left w:val="single" w:sz="4" w:space="0" w:color="auto"/>
              <w:right w:val="nil"/>
            </w:tcBorders>
          </w:tcPr>
          <w:p w:rsidR="00FA5A72" w:rsidRPr="000263AC" w:rsidRDefault="00FA5A72" w:rsidP="008757FF">
            <w:pPr>
              <w:jc w:val="both"/>
              <w:rPr>
                <w:rFonts w:cs="Arial"/>
                <w:b/>
              </w:rPr>
            </w:pPr>
            <w:r w:rsidRPr="000263AC">
              <w:rPr>
                <w:rFonts w:cs="Arial"/>
                <w:b/>
              </w:rPr>
              <w:t>A</w:t>
            </w:r>
          </w:p>
        </w:tc>
        <w:tc>
          <w:tcPr>
            <w:tcW w:w="5795" w:type="dxa"/>
            <w:gridSpan w:val="5"/>
            <w:tcBorders>
              <w:top w:val="single" w:sz="4" w:space="0" w:color="auto"/>
              <w:left w:val="nil"/>
              <w:right w:val="nil"/>
            </w:tcBorders>
          </w:tcPr>
          <w:p w:rsidR="00FA5A72" w:rsidRPr="000263AC" w:rsidRDefault="00FA5A72" w:rsidP="00FA5A72">
            <w:pPr>
              <w:jc w:val="center"/>
              <w:rPr>
                <w:rFonts w:cs="Arial"/>
                <w:b/>
              </w:rPr>
            </w:pPr>
            <w:r>
              <w:rPr>
                <w:rFonts w:cs="Arial"/>
                <w:b/>
              </w:rPr>
              <w:t xml:space="preserve">Bilanz nach </w:t>
            </w:r>
            <w:r w:rsidRPr="000263AC">
              <w:rPr>
                <w:rFonts w:cs="Arial"/>
                <w:b/>
              </w:rPr>
              <w:t>Bewertung</w:t>
            </w:r>
            <w:r>
              <w:rPr>
                <w:rFonts w:cs="Arial"/>
                <w:b/>
              </w:rPr>
              <w:t xml:space="preserve"> </w:t>
            </w:r>
          </w:p>
        </w:tc>
        <w:tc>
          <w:tcPr>
            <w:tcW w:w="1454" w:type="dxa"/>
            <w:tcBorders>
              <w:left w:val="nil"/>
            </w:tcBorders>
          </w:tcPr>
          <w:p w:rsidR="00FA5A72" w:rsidRPr="000263AC" w:rsidRDefault="00FA5A72" w:rsidP="008757FF">
            <w:pPr>
              <w:jc w:val="right"/>
              <w:rPr>
                <w:rFonts w:cs="Arial"/>
                <w:b/>
              </w:rPr>
            </w:pPr>
            <w:r w:rsidRPr="000263AC">
              <w:rPr>
                <w:rFonts w:cs="Arial"/>
                <w:b/>
              </w:rPr>
              <w:t>P</w:t>
            </w:r>
          </w:p>
        </w:tc>
      </w:tr>
      <w:tr w:rsidR="00FA5A72" w:rsidTr="008757FF">
        <w:tc>
          <w:tcPr>
            <w:tcW w:w="2331" w:type="dxa"/>
            <w:gridSpan w:val="2"/>
            <w:tcBorders>
              <w:left w:val="single" w:sz="4" w:space="0" w:color="auto"/>
              <w:bottom w:val="nil"/>
              <w:right w:val="nil"/>
            </w:tcBorders>
          </w:tcPr>
          <w:p w:rsidR="00FA5A72" w:rsidRPr="00DB69D5" w:rsidRDefault="00FA5A72" w:rsidP="008757FF">
            <w:pPr>
              <w:jc w:val="both"/>
              <w:rPr>
                <w:rFonts w:cs="Arial"/>
              </w:rPr>
            </w:pPr>
          </w:p>
        </w:tc>
        <w:tc>
          <w:tcPr>
            <w:tcW w:w="571" w:type="dxa"/>
            <w:tcBorders>
              <w:left w:val="nil"/>
              <w:bottom w:val="nil"/>
              <w:right w:val="nil"/>
            </w:tcBorders>
          </w:tcPr>
          <w:p w:rsidR="00FA5A72" w:rsidRPr="00DB69D5" w:rsidRDefault="00FA5A72" w:rsidP="008757FF">
            <w:pPr>
              <w:jc w:val="both"/>
              <w:rPr>
                <w:rFonts w:cs="Arial"/>
              </w:rPr>
            </w:pPr>
          </w:p>
        </w:tc>
        <w:tc>
          <w:tcPr>
            <w:tcW w:w="1446" w:type="dxa"/>
            <w:tcBorders>
              <w:left w:val="nil"/>
              <w:bottom w:val="nil"/>
              <w:right w:val="single" w:sz="4" w:space="0" w:color="auto"/>
            </w:tcBorders>
          </w:tcPr>
          <w:p w:rsidR="00FA5A72" w:rsidRPr="00DB69D5" w:rsidRDefault="00FA5A72" w:rsidP="008757FF">
            <w:pPr>
              <w:jc w:val="both"/>
              <w:rPr>
                <w:rFonts w:cs="Arial"/>
              </w:rPr>
            </w:pPr>
          </w:p>
        </w:tc>
        <w:tc>
          <w:tcPr>
            <w:tcW w:w="681" w:type="dxa"/>
            <w:tcBorders>
              <w:top w:val="nil"/>
              <w:left w:val="single" w:sz="4" w:space="0" w:color="auto"/>
              <w:bottom w:val="nil"/>
              <w:right w:val="nil"/>
            </w:tcBorders>
          </w:tcPr>
          <w:p w:rsidR="00FA5A72" w:rsidRPr="00DB69D5" w:rsidRDefault="00FA5A72" w:rsidP="008757FF">
            <w:pPr>
              <w:jc w:val="both"/>
              <w:rPr>
                <w:rFonts w:cs="Arial"/>
              </w:rPr>
            </w:pPr>
          </w:p>
        </w:tc>
        <w:tc>
          <w:tcPr>
            <w:tcW w:w="2222" w:type="dxa"/>
            <w:tcBorders>
              <w:top w:val="nil"/>
              <w:left w:val="nil"/>
              <w:bottom w:val="nil"/>
              <w:right w:val="nil"/>
            </w:tcBorders>
          </w:tcPr>
          <w:p w:rsidR="00FA5A72" w:rsidRPr="00DB69D5" w:rsidRDefault="00FA5A72" w:rsidP="008757FF">
            <w:pPr>
              <w:jc w:val="both"/>
              <w:rPr>
                <w:rFonts w:cs="Arial"/>
              </w:rPr>
            </w:pPr>
          </w:p>
        </w:tc>
        <w:tc>
          <w:tcPr>
            <w:tcW w:w="1454" w:type="dxa"/>
            <w:tcBorders>
              <w:top w:val="nil"/>
              <w:left w:val="nil"/>
              <w:bottom w:val="nil"/>
            </w:tcBorders>
          </w:tcPr>
          <w:p w:rsidR="00FA5A72" w:rsidRPr="00DB69D5" w:rsidRDefault="00FA5A72" w:rsidP="008757FF">
            <w:pPr>
              <w:jc w:val="both"/>
              <w:rPr>
                <w:rFonts w:cs="Arial"/>
              </w:rPr>
            </w:pPr>
          </w:p>
        </w:tc>
      </w:tr>
      <w:tr w:rsidR="00FA5A72" w:rsidTr="008757FF">
        <w:tc>
          <w:tcPr>
            <w:tcW w:w="2331" w:type="dxa"/>
            <w:gridSpan w:val="2"/>
            <w:tcBorders>
              <w:top w:val="nil"/>
              <w:left w:val="single" w:sz="4" w:space="0" w:color="auto"/>
              <w:bottom w:val="nil"/>
              <w:right w:val="nil"/>
            </w:tcBorders>
          </w:tcPr>
          <w:p w:rsidR="00FA5A72" w:rsidRPr="00DB69D5" w:rsidRDefault="00FA5A72" w:rsidP="008757FF">
            <w:pPr>
              <w:jc w:val="both"/>
              <w:rPr>
                <w:rFonts w:cs="Arial"/>
              </w:rPr>
            </w:pPr>
            <w:r>
              <w:rPr>
                <w:rFonts w:cs="Arial"/>
              </w:rPr>
              <w:t>Anlagevermögen</w:t>
            </w:r>
          </w:p>
        </w:tc>
        <w:tc>
          <w:tcPr>
            <w:tcW w:w="571" w:type="dxa"/>
            <w:tcBorders>
              <w:top w:val="nil"/>
              <w:left w:val="nil"/>
              <w:bottom w:val="nil"/>
              <w:right w:val="nil"/>
            </w:tcBorders>
          </w:tcPr>
          <w:p w:rsidR="00FA5A72" w:rsidRPr="00DB69D5" w:rsidRDefault="00FA5A72" w:rsidP="008757FF">
            <w:pPr>
              <w:jc w:val="both"/>
              <w:rPr>
                <w:rFonts w:cs="Arial"/>
              </w:rPr>
            </w:pPr>
          </w:p>
        </w:tc>
        <w:tc>
          <w:tcPr>
            <w:tcW w:w="1446" w:type="dxa"/>
            <w:tcBorders>
              <w:top w:val="nil"/>
              <w:left w:val="nil"/>
              <w:bottom w:val="nil"/>
              <w:right w:val="single" w:sz="4" w:space="0" w:color="auto"/>
            </w:tcBorders>
          </w:tcPr>
          <w:p w:rsidR="00FA5A72" w:rsidRPr="00DB69D5" w:rsidRDefault="00FA5A72" w:rsidP="008757FF">
            <w:pPr>
              <w:jc w:val="right"/>
              <w:rPr>
                <w:rFonts w:cs="Arial"/>
              </w:rPr>
            </w:pPr>
            <w:r>
              <w:rPr>
                <w:rFonts w:cs="Arial"/>
              </w:rPr>
              <w:t>200 T€</w:t>
            </w:r>
          </w:p>
        </w:tc>
        <w:tc>
          <w:tcPr>
            <w:tcW w:w="681" w:type="dxa"/>
            <w:tcBorders>
              <w:top w:val="nil"/>
              <w:left w:val="single" w:sz="4" w:space="0" w:color="auto"/>
              <w:bottom w:val="nil"/>
              <w:right w:val="nil"/>
            </w:tcBorders>
          </w:tcPr>
          <w:p w:rsidR="00FA5A72" w:rsidRPr="00DB69D5" w:rsidRDefault="00FA5A72" w:rsidP="008757FF">
            <w:pPr>
              <w:jc w:val="both"/>
              <w:rPr>
                <w:rFonts w:cs="Arial"/>
              </w:rPr>
            </w:pPr>
            <w:r>
              <w:rPr>
                <w:rFonts w:cs="Arial"/>
              </w:rPr>
              <w:t>EK</w:t>
            </w:r>
          </w:p>
        </w:tc>
        <w:tc>
          <w:tcPr>
            <w:tcW w:w="2222" w:type="dxa"/>
            <w:tcBorders>
              <w:top w:val="nil"/>
              <w:left w:val="nil"/>
              <w:bottom w:val="nil"/>
              <w:right w:val="nil"/>
            </w:tcBorders>
          </w:tcPr>
          <w:p w:rsidR="00FA5A72" w:rsidRPr="00DB69D5" w:rsidRDefault="00FA5A72" w:rsidP="008757FF">
            <w:pPr>
              <w:jc w:val="both"/>
              <w:rPr>
                <w:rFonts w:cs="Arial"/>
              </w:rPr>
            </w:pPr>
            <w:r>
              <w:rPr>
                <w:rFonts w:cs="Arial"/>
              </w:rPr>
              <w:t>Kapitalstock</w:t>
            </w:r>
          </w:p>
        </w:tc>
        <w:tc>
          <w:tcPr>
            <w:tcW w:w="1454" w:type="dxa"/>
            <w:tcBorders>
              <w:top w:val="nil"/>
              <w:left w:val="nil"/>
              <w:bottom w:val="nil"/>
            </w:tcBorders>
          </w:tcPr>
          <w:p w:rsidR="00FA5A72" w:rsidRPr="00DB69D5" w:rsidRDefault="00FA5A72" w:rsidP="008757FF">
            <w:pPr>
              <w:jc w:val="right"/>
              <w:rPr>
                <w:rFonts w:cs="Arial"/>
              </w:rPr>
            </w:pPr>
            <w:r>
              <w:rPr>
                <w:rFonts w:cs="Arial"/>
              </w:rPr>
              <w:t>220 T€</w:t>
            </w:r>
          </w:p>
        </w:tc>
      </w:tr>
      <w:tr w:rsidR="00FA5A72" w:rsidTr="008757FF">
        <w:tc>
          <w:tcPr>
            <w:tcW w:w="2331" w:type="dxa"/>
            <w:gridSpan w:val="2"/>
            <w:tcBorders>
              <w:top w:val="nil"/>
              <w:left w:val="single" w:sz="4" w:space="0" w:color="auto"/>
              <w:bottom w:val="nil"/>
              <w:right w:val="nil"/>
            </w:tcBorders>
          </w:tcPr>
          <w:p w:rsidR="00FA5A72" w:rsidRPr="00DB69D5" w:rsidRDefault="00FA5A72" w:rsidP="008757FF">
            <w:pPr>
              <w:jc w:val="both"/>
              <w:rPr>
                <w:rFonts w:cs="Arial"/>
              </w:rPr>
            </w:pPr>
          </w:p>
        </w:tc>
        <w:tc>
          <w:tcPr>
            <w:tcW w:w="571" w:type="dxa"/>
            <w:tcBorders>
              <w:top w:val="nil"/>
              <w:left w:val="nil"/>
              <w:bottom w:val="nil"/>
              <w:right w:val="nil"/>
            </w:tcBorders>
          </w:tcPr>
          <w:p w:rsidR="00FA5A72" w:rsidRPr="00DB69D5" w:rsidRDefault="00FA5A72" w:rsidP="008757FF">
            <w:pPr>
              <w:jc w:val="both"/>
              <w:rPr>
                <w:rFonts w:cs="Arial"/>
              </w:rPr>
            </w:pPr>
          </w:p>
        </w:tc>
        <w:tc>
          <w:tcPr>
            <w:tcW w:w="1446" w:type="dxa"/>
            <w:tcBorders>
              <w:top w:val="nil"/>
              <w:left w:val="nil"/>
              <w:bottom w:val="nil"/>
              <w:right w:val="single" w:sz="4" w:space="0" w:color="auto"/>
            </w:tcBorders>
          </w:tcPr>
          <w:p w:rsidR="00FA5A72" w:rsidRPr="00DB69D5" w:rsidRDefault="00FA5A72" w:rsidP="008757FF">
            <w:pPr>
              <w:jc w:val="right"/>
              <w:rPr>
                <w:rFonts w:cs="Arial"/>
              </w:rPr>
            </w:pPr>
          </w:p>
        </w:tc>
        <w:tc>
          <w:tcPr>
            <w:tcW w:w="681" w:type="dxa"/>
            <w:tcBorders>
              <w:top w:val="nil"/>
              <w:left w:val="single" w:sz="4" w:space="0" w:color="auto"/>
              <w:bottom w:val="nil"/>
              <w:right w:val="nil"/>
            </w:tcBorders>
          </w:tcPr>
          <w:p w:rsidR="00FA5A72" w:rsidRPr="00DB69D5" w:rsidRDefault="00FA5A72" w:rsidP="008757FF">
            <w:pPr>
              <w:jc w:val="both"/>
              <w:rPr>
                <w:rFonts w:cs="Arial"/>
              </w:rPr>
            </w:pPr>
          </w:p>
        </w:tc>
        <w:tc>
          <w:tcPr>
            <w:tcW w:w="2222" w:type="dxa"/>
            <w:tcBorders>
              <w:top w:val="nil"/>
              <w:left w:val="nil"/>
              <w:bottom w:val="nil"/>
              <w:right w:val="nil"/>
            </w:tcBorders>
          </w:tcPr>
          <w:p w:rsidR="00FA5A72" w:rsidRPr="00DB69D5" w:rsidRDefault="00FA5A72" w:rsidP="008757FF">
            <w:pPr>
              <w:jc w:val="both"/>
              <w:rPr>
                <w:rFonts w:cs="Arial"/>
              </w:rPr>
            </w:pPr>
            <w:r>
              <w:rPr>
                <w:rFonts w:cs="Arial"/>
              </w:rPr>
              <w:t>Rücklagen</w:t>
            </w:r>
          </w:p>
        </w:tc>
        <w:tc>
          <w:tcPr>
            <w:tcW w:w="1454" w:type="dxa"/>
            <w:tcBorders>
              <w:top w:val="nil"/>
              <w:left w:val="nil"/>
              <w:bottom w:val="nil"/>
            </w:tcBorders>
          </w:tcPr>
          <w:p w:rsidR="00FA5A72" w:rsidRPr="00DB69D5" w:rsidRDefault="00FA5A72" w:rsidP="008757FF">
            <w:pPr>
              <w:jc w:val="right"/>
              <w:rPr>
                <w:rFonts w:cs="Arial"/>
              </w:rPr>
            </w:pPr>
            <w:r>
              <w:rPr>
                <w:rFonts w:cs="Arial"/>
              </w:rPr>
              <w:t>20 T€</w:t>
            </w:r>
          </w:p>
        </w:tc>
      </w:tr>
      <w:tr w:rsidR="00FA5A72" w:rsidTr="008757FF">
        <w:tc>
          <w:tcPr>
            <w:tcW w:w="2331" w:type="dxa"/>
            <w:gridSpan w:val="2"/>
            <w:tcBorders>
              <w:top w:val="nil"/>
              <w:left w:val="single" w:sz="4" w:space="0" w:color="auto"/>
              <w:bottom w:val="nil"/>
              <w:right w:val="nil"/>
            </w:tcBorders>
          </w:tcPr>
          <w:p w:rsidR="00FA5A72" w:rsidRPr="00DB69D5" w:rsidRDefault="00FA5A72" w:rsidP="008757FF">
            <w:pPr>
              <w:jc w:val="both"/>
              <w:rPr>
                <w:rFonts w:cs="Arial"/>
              </w:rPr>
            </w:pPr>
            <w:r>
              <w:rPr>
                <w:rFonts w:cs="Arial"/>
              </w:rPr>
              <w:t>Umlaufvermögen</w:t>
            </w:r>
          </w:p>
        </w:tc>
        <w:tc>
          <w:tcPr>
            <w:tcW w:w="571" w:type="dxa"/>
            <w:tcBorders>
              <w:top w:val="nil"/>
              <w:left w:val="nil"/>
              <w:bottom w:val="nil"/>
              <w:right w:val="nil"/>
            </w:tcBorders>
          </w:tcPr>
          <w:p w:rsidR="00FA5A72" w:rsidRPr="00DB69D5" w:rsidRDefault="00FA5A72" w:rsidP="008757FF">
            <w:pPr>
              <w:jc w:val="both"/>
              <w:rPr>
                <w:rFonts w:cs="Arial"/>
              </w:rPr>
            </w:pPr>
          </w:p>
        </w:tc>
        <w:tc>
          <w:tcPr>
            <w:tcW w:w="1446" w:type="dxa"/>
            <w:tcBorders>
              <w:top w:val="nil"/>
              <w:left w:val="nil"/>
              <w:bottom w:val="nil"/>
              <w:right w:val="single" w:sz="4" w:space="0" w:color="auto"/>
            </w:tcBorders>
          </w:tcPr>
          <w:p w:rsidR="00FA5A72" w:rsidRPr="00DB69D5" w:rsidRDefault="00FA5A72" w:rsidP="008757FF">
            <w:pPr>
              <w:jc w:val="right"/>
              <w:rPr>
                <w:rFonts w:cs="Arial"/>
              </w:rPr>
            </w:pPr>
            <w:r>
              <w:rPr>
                <w:rFonts w:cs="Arial"/>
              </w:rPr>
              <w:t>120 T€</w:t>
            </w:r>
          </w:p>
        </w:tc>
        <w:tc>
          <w:tcPr>
            <w:tcW w:w="681" w:type="dxa"/>
            <w:tcBorders>
              <w:top w:val="nil"/>
              <w:left w:val="single" w:sz="4" w:space="0" w:color="auto"/>
              <w:bottom w:val="nil"/>
              <w:right w:val="nil"/>
            </w:tcBorders>
          </w:tcPr>
          <w:p w:rsidR="00FA5A72" w:rsidRPr="00DB69D5" w:rsidRDefault="00FA5A72" w:rsidP="008757FF">
            <w:pPr>
              <w:jc w:val="both"/>
              <w:rPr>
                <w:rFonts w:cs="Arial"/>
              </w:rPr>
            </w:pPr>
          </w:p>
        </w:tc>
        <w:tc>
          <w:tcPr>
            <w:tcW w:w="2222" w:type="dxa"/>
            <w:tcBorders>
              <w:top w:val="nil"/>
              <w:left w:val="nil"/>
              <w:bottom w:val="nil"/>
              <w:right w:val="nil"/>
            </w:tcBorders>
          </w:tcPr>
          <w:p w:rsidR="00FA5A72" w:rsidRPr="00DB69D5" w:rsidRDefault="00FA5A72" w:rsidP="008757FF">
            <w:pPr>
              <w:jc w:val="both"/>
              <w:rPr>
                <w:rFonts w:cs="Arial"/>
              </w:rPr>
            </w:pPr>
            <w:r>
              <w:rPr>
                <w:rFonts w:cs="Arial"/>
              </w:rPr>
              <w:t>Ergebnisvortrag</w:t>
            </w:r>
          </w:p>
        </w:tc>
        <w:tc>
          <w:tcPr>
            <w:tcW w:w="1454" w:type="dxa"/>
            <w:tcBorders>
              <w:top w:val="nil"/>
              <w:left w:val="nil"/>
              <w:bottom w:val="nil"/>
            </w:tcBorders>
          </w:tcPr>
          <w:p w:rsidR="00FA5A72" w:rsidRPr="00DB69D5" w:rsidRDefault="00FA5A72" w:rsidP="008757FF">
            <w:pPr>
              <w:jc w:val="right"/>
              <w:rPr>
                <w:rFonts w:cs="Arial"/>
              </w:rPr>
            </w:pPr>
            <w:r>
              <w:rPr>
                <w:rFonts w:cs="Arial"/>
              </w:rPr>
              <w:t>0 T€</w:t>
            </w:r>
          </w:p>
        </w:tc>
      </w:tr>
      <w:tr w:rsidR="00FA5A72" w:rsidTr="008757FF">
        <w:tc>
          <w:tcPr>
            <w:tcW w:w="2331" w:type="dxa"/>
            <w:gridSpan w:val="2"/>
            <w:tcBorders>
              <w:top w:val="nil"/>
              <w:left w:val="single" w:sz="4" w:space="0" w:color="auto"/>
              <w:bottom w:val="nil"/>
              <w:right w:val="nil"/>
            </w:tcBorders>
          </w:tcPr>
          <w:p w:rsidR="00FA5A72" w:rsidRPr="00DB69D5" w:rsidRDefault="00FA5A72" w:rsidP="008757FF">
            <w:pPr>
              <w:jc w:val="both"/>
              <w:rPr>
                <w:rFonts w:cs="Arial"/>
              </w:rPr>
            </w:pPr>
          </w:p>
        </w:tc>
        <w:tc>
          <w:tcPr>
            <w:tcW w:w="571" w:type="dxa"/>
            <w:tcBorders>
              <w:top w:val="nil"/>
              <w:left w:val="nil"/>
              <w:bottom w:val="nil"/>
              <w:right w:val="nil"/>
            </w:tcBorders>
          </w:tcPr>
          <w:p w:rsidR="00FA5A72" w:rsidRPr="00DB69D5" w:rsidRDefault="00FA5A72" w:rsidP="008757FF">
            <w:pPr>
              <w:jc w:val="both"/>
              <w:rPr>
                <w:rFonts w:cs="Arial"/>
              </w:rPr>
            </w:pPr>
          </w:p>
        </w:tc>
        <w:tc>
          <w:tcPr>
            <w:tcW w:w="1446" w:type="dxa"/>
            <w:tcBorders>
              <w:top w:val="nil"/>
              <w:left w:val="nil"/>
              <w:bottom w:val="nil"/>
              <w:right w:val="single" w:sz="4" w:space="0" w:color="auto"/>
            </w:tcBorders>
          </w:tcPr>
          <w:p w:rsidR="00FA5A72" w:rsidRPr="00DB69D5" w:rsidRDefault="00FA5A72" w:rsidP="008757FF">
            <w:pPr>
              <w:jc w:val="right"/>
              <w:rPr>
                <w:rFonts w:cs="Arial"/>
              </w:rPr>
            </w:pPr>
          </w:p>
        </w:tc>
        <w:tc>
          <w:tcPr>
            <w:tcW w:w="2903" w:type="dxa"/>
            <w:gridSpan w:val="2"/>
            <w:tcBorders>
              <w:top w:val="nil"/>
              <w:left w:val="single" w:sz="4" w:space="0" w:color="auto"/>
              <w:bottom w:val="nil"/>
              <w:right w:val="nil"/>
            </w:tcBorders>
          </w:tcPr>
          <w:p w:rsidR="00FA5A72" w:rsidRPr="00DB69D5" w:rsidRDefault="00FA5A72" w:rsidP="008757FF">
            <w:pPr>
              <w:jc w:val="both"/>
              <w:rPr>
                <w:rFonts w:cs="Arial"/>
              </w:rPr>
            </w:pPr>
            <w:r>
              <w:rPr>
                <w:rFonts w:cs="Arial"/>
              </w:rPr>
              <w:t>Sonderposten</w:t>
            </w:r>
          </w:p>
        </w:tc>
        <w:tc>
          <w:tcPr>
            <w:tcW w:w="1454" w:type="dxa"/>
            <w:tcBorders>
              <w:top w:val="nil"/>
              <w:left w:val="nil"/>
              <w:bottom w:val="nil"/>
            </w:tcBorders>
          </w:tcPr>
          <w:p w:rsidR="00FA5A72" w:rsidRPr="00DB69D5" w:rsidRDefault="00FA5A72" w:rsidP="008757FF">
            <w:pPr>
              <w:jc w:val="right"/>
              <w:rPr>
                <w:rFonts w:cs="Arial"/>
              </w:rPr>
            </w:pPr>
            <w:r>
              <w:rPr>
                <w:rFonts w:cs="Arial"/>
              </w:rPr>
              <w:t>80 T€</w:t>
            </w:r>
          </w:p>
        </w:tc>
      </w:tr>
      <w:tr w:rsidR="00FA5A72" w:rsidTr="008757FF">
        <w:tc>
          <w:tcPr>
            <w:tcW w:w="2331" w:type="dxa"/>
            <w:gridSpan w:val="2"/>
            <w:tcBorders>
              <w:top w:val="nil"/>
              <w:left w:val="single" w:sz="4" w:space="0" w:color="auto"/>
              <w:bottom w:val="single" w:sz="4" w:space="0" w:color="auto"/>
              <w:right w:val="nil"/>
            </w:tcBorders>
          </w:tcPr>
          <w:p w:rsidR="00FA5A72" w:rsidRDefault="00FA5A72" w:rsidP="008757FF">
            <w:pPr>
              <w:jc w:val="both"/>
              <w:rPr>
                <w:rFonts w:cs="Arial"/>
              </w:rPr>
            </w:pPr>
            <w:r>
              <w:rPr>
                <w:rFonts w:cs="Arial"/>
              </w:rPr>
              <w:t>Übrige Aktiva</w:t>
            </w:r>
          </w:p>
        </w:tc>
        <w:tc>
          <w:tcPr>
            <w:tcW w:w="571" w:type="dxa"/>
            <w:tcBorders>
              <w:top w:val="nil"/>
              <w:left w:val="nil"/>
              <w:bottom w:val="single" w:sz="4" w:space="0" w:color="auto"/>
              <w:right w:val="nil"/>
            </w:tcBorders>
          </w:tcPr>
          <w:p w:rsidR="00FA5A72" w:rsidRPr="00DB69D5" w:rsidRDefault="00FA5A72" w:rsidP="008757FF">
            <w:pPr>
              <w:jc w:val="both"/>
              <w:rPr>
                <w:rFonts w:cs="Arial"/>
              </w:rPr>
            </w:pPr>
          </w:p>
        </w:tc>
        <w:tc>
          <w:tcPr>
            <w:tcW w:w="1446" w:type="dxa"/>
            <w:tcBorders>
              <w:top w:val="nil"/>
              <w:left w:val="nil"/>
              <w:bottom w:val="single" w:sz="4" w:space="0" w:color="auto"/>
              <w:right w:val="single" w:sz="4" w:space="0" w:color="auto"/>
            </w:tcBorders>
          </w:tcPr>
          <w:p w:rsidR="00FA5A72" w:rsidRPr="00DB69D5" w:rsidRDefault="00FA5A72" w:rsidP="008757FF">
            <w:pPr>
              <w:jc w:val="right"/>
              <w:rPr>
                <w:rFonts w:cs="Arial"/>
              </w:rPr>
            </w:pPr>
            <w:r>
              <w:rPr>
                <w:rFonts w:cs="Arial"/>
              </w:rPr>
              <w:t>0 T€</w:t>
            </w:r>
          </w:p>
        </w:tc>
        <w:tc>
          <w:tcPr>
            <w:tcW w:w="2903" w:type="dxa"/>
            <w:gridSpan w:val="2"/>
            <w:tcBorders>
              <w:top w:val="nil"/>
              <w:left w:val="single" w:sz="4" w:space="0" w:color="auto"/>
              <w:right w:val="nil"/>
            </w:tcBorders>
          </w:tcPr>
          <w:p w:rsidR="00FA5A72" w:rsidRPr="00DB69D5" w:rsidRDefault="00FA5A72" w:rsidP="008757FF">
            <w:pPr>
              <w:jc w:val="both"/>
              <w:rPr>
                <w:rFonts w:cs="Arial"/>
              </w:rPr>
            </w:pPr>
            <w:r>
              <w:rPr>
                <w:rFonts w:cs="Arial"/>
              </w:rPr>
              <w:t>Übrige Passiva</w:t>
            </w:r>
          </w:p>
        </w:tc>
        <w:tc>
          <w:tcPr>
            <w:tcW w:w="1454" w:type="dxa"/>
            <w:tcBorders>
              <w:top w:val="nil"/>
              <w:left w:val="nil"/>
            </w:tcBorders>
          </w:tcPr>
          <w:p w:rsidR="00FA5A72" w:rsidRPr="00DB69D5" w:rsidRDefault="00FA5A72" w:rsidP="008757FF">
            <w:pPr>
              <w:jc w:val="right"/>
              <w:rPr>
                <w:rFonts w:cs="Arial"/>
              </w:rPr>
            </w:pPr>
            <w:r>
              <w:rPr>
                <w:rFonts w:cs="Arial"/>
              </w:rPr>
              <w:t>0 T€</w:t>
            </w:r>
          </w:p>
        </w:tc>
      </w:tr>
      <w:tr w:rsidR="00FA5A72" w:rsidTr="008757FF">
        <w:tc>
          <w:tcPr>
            <w:tcW w:w="2331" w:type="dxa"/>
            <w:gridSpan w:val="2"/>
            <w:tcBorders>
              <w:top w:val="nil"/>
              <w:left w:val="single" w:sz="4" w:space="0" w:color="auto"/>
              <w:bottom w:val="single" w:sz="4" w:space="0" w:color="auto"/>
              <w:right w:val="nil"/>
            </w:tcBorders>
          </w:tcPr>
          <w:p w:rsidR="00FA5A72" w:rsidRPr="00DB69D5" w:rsidRDefault="00FA5A72" w:rsidP="008757FF">
            <w:pPr>
              <w:jc w:val="right"/>
              <w:rPr>
                <w:rFonts w:cs="Arial"/>
              </w:rPr>
            </w:pPr>
          </w:p>
        </w:tc>
        <w:tc>
          <w:tcPr>
            <w:tcW w:w="571" w:type="dxa"/>
            <w:tcBorders>
              <w:top w:val="nil"/>
              <w:left w:val="nil"/>
              <w:bottom w:val="single" w:sz="4" w:space="0" w:color="auto"/>
              <w:right w:val="nil"/>
            </w:tcBorders>
          </w:tcPr>
          <w:p w:rsidR="00FA5A72" w:rsidRPr="00DB69D5" w:rsidRDefault="00FA5A72" w:rsidP="008757FF">
            <w:pPr>
              <w:jc w:val="right"/>
              <w:rPr>
                <w:rFonts w:cs="Arial"/>
              </w:rPr>
            </w:pPr>
          </w:p>
        </w:tc>
        <w:tc>
          <w:tcPr>
            <w:tcW w:w="1446" w:type="dxa"/>
            <w:tcBorders>
              <w:top w:val="nil"/>
              <w:left w:val="nil"/>
              <w:bottom w:val="single" w:sz="4" w:space="0" w:color="auto"/>
              <w:right w:val="single" w:sz="4" w:space="0" w:color="auto"/>
            </w:tcBorders>
          </w:tcPr>
          <w:p w:rsidR="00FA5A72" w:rsidRPr="00DB69D5" w:rsidRDefault="00FA5A72" w:rsidP="008757FF">
            <w:pPr>
              <w:jc w:val="right"/>
              <w:rPr>
                <w:rFonts w:cs="Arial"/>
              </w:rPr>
            </w:pPr>
            <w:r>
              <w:rPr>
                <w:rFonts w:cs="Arial"/>
              </w:rPr>
              <w:t>320 T€</w:t>
            </w:r>
          </w:p>
        </w:tc>
        <w:tc>
          <w:tcPr>
            <w:tcW w:w="681" w:type="dxa"/>
            <w:tcBorders>
              <w:top w:val="nil"/>
              <w:left w:val="single" w:sz="4" w:space="0" w:color="auto"/>
              <w:right w:val="nil"/>
            </w:tcBorders>
          </w:tcPr>
          <w:p w:rsidR="00FA5A72" w:rsidRPr="00DB69D5" w:rsidRDefault="00FA5A72" w:rsidP="008757FF">
            <w:pPr>
              <w:jc w:val="right"/>
              <w:rPr>
                <w:rFonts w:cs="Arial"/>
              </w:rPr>
            </w:pPr>
          </w:p>
        </w:tc>
        <w:tc>
          <w:tcPr>
            <w:tcW w:w="2222" w:type="dxa"/>
            <w:tcBorders>
              <w:top w:val="nil"/>
              <w:left w:val="nil"/>
              <w:right w:val="nil"/>
            </w:tcBorders>
          </w:tcPr>
          <w:p w:rsidR="00FA5A72" w:rsidRPr="00DB69D5" w:rsidRDefault="00FA5A72" w:rsidP="008757FF">
            <w:pPr>
              <w:jc w:val="right"/>
              <w:rPr>
                <w:rFonts w:cs="Arial"/>
              </w:rPr>
            </w:pPr>
          </w:p>
        </w:tc>
        <w:tc>
          <w:tcPr>
            <w:tcW w:w="1454" w:type="dxa"/>
            <w:tcBorders>
              <w:top w:val="nil"/>
              <w:left w:val="nil"/>
            </w:tcBorders>
          </w:tcPr>
          <w:p w:rsidR="00FA5A72" w:rsidRPr="00DB69D5" w:rsidRDefault="00FA5A72" w:rsidP="008757FF">
            <w:pPr>
              <w:jc w:val="right"/>
              <w:rPr>
                <w:rFonts w:cs="Arial"/>
              </w:rPr>
            </w:pPr>
            <w:r>
              <w:rPr>
                <w:rFonts w:cs="Arial"/>
              </w:rPr>
              <w:t>320 T€</w:t>
            </w:r>
          </w:p>
        </w:tc>
      </w:tr>
    </w:tbl>
    <w:p w:rsidR="00DB69D5" w:rsidRDefault="00DB69D5" w:rsidP="00E20C5A">
      <w:pPr>
        <w:ind w:left="357"/>
        <w:jc w:val="both"/>
        <w:rPr>
          <w:rFonts w:cs="Arial"/>
          <w:u w:val="single"/>
        </w:rPr>
      </w:pPr>
    </w:p>
    <w:p w:rsidR="00CF010D" w:rsidRDefault="00FA5A72" w:rsidP="00E20C5A">
      <w:pPr>
        <w:ind w:left="357"/>
        <w:jc w:val="both"/>
        <w:rPr>
          <w:rFonts w:cs="Arial"/>
        </w:rPr>
      </w:pPr>
      <w:r>
        <w:rPr>
          <w:rFonts w:cs="Arial"/>
        </w:rPr>
        <w:t>Für die Ergebnisrechnung gehen wir davon aus, dass das Jah</w:t>
      </w:r>
      <w:r w:rsidR="00CF010D">
        <w:rPr>
          <w:rFonts w:cs="Arial"/>
        </w:rPr>
        <w:t>resergebnis vor Bewertung ausgeglichen ist und die Ergebniswirkung nur durch die Abschreibung und die Auflösung des Sonderpostens besteht.</w:t>
      </w:r>
    </w:p>
    <w:tbl>
      <w:tblPr>
        <w:tblStyle w:val="Tabellenraster"/>
        <w:tblW w:w="0" w:type="auto"/>
        <w:tblInd w:w="357" w:type="dxa"/>
        <w:tblLook w:val="04A0" w:firstRow="1" w:lastRow="0" w:firstColumn="1" w:lastColumn="0" w:noHBand="0" w:noVBand="1"/>
      </w:tblPr>
      <w:tblGrid>
        <w:gridCol w:w="4600"/>
        <w:gridCol w:w="1203"/>
      </w:tblGrid>
      <w:tr w:rsidR="00CF010D" w:rsidTr="00CF010D">
        <w:tc>
          <w:tcPr>
            <w:tcW w:w="4600" w:type="dxa"/>
          </w:tcPr>
          <w:p w:rsidR="00CF010D" w:rsidRDefault="00CF010D" w:rsidP="00E20C5A">
            <w:pPr>
              <w:jc w:val="both"/>
              <w:rPr>
                <w:rFonts w:cs="Arial"/>
              </w:rPr>
            </w:pPr>
            <w:r>
              <w:rPr>
                <w:rFonts w:cs="Arial"/>
              </w:rPr>
              <w:t>Erträge aus der Auflösung von Sonderposten</w:t>
            </w:r>
          </w:p>
        </w:tc>
        <w:tc>
          <w:tcPr>
            <w:tcW w:w="1203" w:type="dxa"/>
          </w:tcPr>
          <w:p w:rsidR="00CF010D" w:rsidRDefault="00CF010D" w:rsidP="00CF010D">
            <w:pPr>
              <w:jc w:val="right"/>
              <w:rPr>
                <w:rFonts w:cs="Arial"/>
              </w:rPr>
            </w:pPr>
            <w:r>
              <w:rPr>
                <w:rFonts w:cs="Arial"/>
              </w:rPr>
              <w:t>8 T€</w:t>
            </w:r>
          </w:p>
        </w:tc>
      </w:tr>
      <w:tr w:rsidR="00CF010D" w:rsidTr="00CF010D">
        <w:tc>
          <w:tcPr>
            <w:tcW w:w="4600" w:type="dxa"/>
          </w:tcPr>
          <w:p w:rsidR="00CF010D" w:rsidRDefault="00CF010D" w:rsidP="00E20C5A">
            <w:pPr>
              <w:jc w:val="both"/>
              <w:rPr>
                <w:rFonts w:cs="Arial"/>
              </w:rPr>
            </w:pPr>
            <w:r>
              <w:rPr>
                <w:rFonts w:cs="Arial"/>
              </w:rPr>
              <w:t>Übrige Erträge</w:t>
            </w:r>
          </w:p>
        </w:tc>
        <w:tc>
          <w:tcPr>
            <w:tcW w:w="1203" w:type="dxa"/>
          </w:tcPr>
          <w:p w:rsidR="00CF010D" w:rsidRDefault="00CF010D" w:rsidP="00CF010D">
            <w:pPr>
              <w:jc w:val="right"/>
              <w:rPr>
                <w:rFonts w:cs="Arial"/>
              </w:rPr>
            </w:pPr>
            <w:r>
              <w:rPr>
                <w:rFonts w:cs="Arial"/>
              </w:rPr>
              <w:t>…</w:t>
            </w:r>
          </w:p>
        </w:tc>
      </w:tr>
      <w:tr w:rsidR="00CF010D" w:rsidTr="00596888">
        <w:trPr>
          <w:trHeight w:val="104"/>
        </w:trPr>
        <w:tc>
          <w:tcPr>
            <w:tcW w:w="4600" w:type="dxa"/>
          </w:tcPr>
          <w:p w:rsidR="00CF010D" w:rsidRDefault="00CF010D" w:rsidP="00E20C5A">
            <w:pPr>
              <w:jc w:val="both"/>
              <w:rPr>
                <w:rFonts w:cs="Arial"/>
              </w:rPr>
            </w:pPr>
          </w:p>
        </w:tc>
        <w:tc>
          <w:tcPr>
            <w:tcW w:w="1203" w:type="dxa"/>
          </w:tcPr>
          <w:p w:rsidR="00CF010D" w:rsidRDefault="00CF010D" w:rsidP="00CF010D">
            <w:pPr>
              <w:jc w:val="right"/>
              <w:rPr>
                <w:rFonts w:cs="Arial"/>
              </w:rPr>
            </w:pPr>
          </w:p>
        </w:tc>
      </w:tr>
      <w:tr w:rsidR="00CF010D" w:rsidTr="00CF010D">
        <w:tc>
          <w:tcPr>
            <w:tcW w:w="4600" w:type="dxa"/>
          </w:tcPr>
          <w:p w:rsidR="00CF010D" w:rsidRDefault="00CF010D" w:rsidP="00E20C5A">
            <w:pPr>
              <w:jc w:val="both"/>
              <w:rPr>
                <w:rFonts w:cs="Arial"/>
              </w:rPr>
            </w:pPr>
            <w:r>
              <w:rPr>
                <w:rFonts w:cs="Arial"/>
              </w:rPr>
              <w:t>Abschreibungen</w:t>
            </w:r>
          </w:p>
        </w:tc>
        <w:tc>
          <w:tcPr>
            <w:tcW w:w="1203" w:type="dxa"/>
          </w:tcPr>
          <w:p w:rsidR="00CF010D" w:rsidRDefault="00CF010D" w:rsidP="00CF010D">
            <w:pPr>
              <w:jc w:val="right"/>
              <w:rPr>
                <w:rFonts w:cs="Arial"/>
              </w:rPr>
            </w:pPr>
            <w:r>
              <w:rPr>
                <w:rFonts w:cs="Arial"/>
              </w:rPr>
              <w:t>-20 T€</w:t>
            </w:r>
          </w:p>
        </w:tc>
      </w:tr>
      <w:tr w:rsidR="00CF010D" w:rsidTr="00CF010D">
        <w:tc>
          <w:tcPr>
            <w:tcW w:w="4600" w:type="dxa"/>
          </w:tcPr>
          <w:p w:rsidR="00CF010D" w:rsidRDefault="00CF010D" w:rsidP="00E20C5A">
            <w:pPr>
              <w:jc w:val="both"/>
              <w:rPr>
                <w:rFonts w:cs="Arial"/>
              </w:rPr>
            </w:pPr>
            <w:r>
              <w:rPr>
                <w:rFonts w:cs="Arial"/>
              </w:rPr>
              <w:t>Übrige Aufwendungen</w:t>
            </w:r>
          </w:p>
        </w:tc>
        <w:tc>
          <w:tcPr>
            <w:tcW w:w="1203" w:type="dxa"/>
          </w:tcPr>
          <w:p w:rsidR="00CF010D" w:rsidRDefault="00CF010D" w:rsidP="00CF010D">
            <w:pPr>
              <w:jc w:val="right"/>
              <w:rPr>
                <w:rFonts w:cs="Arial"/>
              </w:rPr>
            </w:pPr>
            <w:r>
              <w:rPr>
                <w:rFonts w:cs="Arial"/>
              </w:rPr>
              <w:t>…</w:t>
            </w:r>
          </w:p>
        </w:tc>
      </w:tr>
      <w:tr w:rsidR="00CF010D" w:rsidTr="00CF010D">
        <w:trPr>
          <w:trHeight w:val="159"/>
        </w:trPr>
        <w:tc>
          <w:tcPr>
            <w:tcW w:w="4600" w:type="dxa"/>
          </w:tcPr>
          <w:p w:rsidR="00CF010D" w:rsidRDefault="00CF010D" w:rsidP="00E20C5A">
            <w:pPr>
              <w:jc w:val="both"/>
              <w:rPr>
                <w:rFonts w:cs="Arial"/>
              </w:rPr>
            </w:pPr>
          </w:p>
        </w:tc>
        <w:tc>
          <w:tcPr>
            <w:tcW w:w="1203" w:type="dxa"/>
          </w:tcPr>
          <w:p w:rsidR="00CF010D" w:rsidRDefault="00CF010D" w:rsidP="00CF010D">
            <w:pPr>
              <w:jc w:val="right"/>
              <w:rPr>
                <w:rFonts w:cs="Arial"/>
              </w:rPr>
            </w:pPr>
          </w:p>
        </w:tc>
      </w:tr>
      <w:tr w:rsidR="00CF010D" w:rsidRPr="00CF010D" w:rsidTr="00CF010D">
        <w:tc>
          <w:tcPr>
            <w:tcW w:w="4600" w:type="dxa"/>
          </w:tcPr>
          <w:p w:rsidR="00CF010D" w:rsidRPr="00CF010D" w:rsidRDefault="00CF010D" w:rsidP="00E20C5A">
            <w:pPr>
              <w:jc w:val="both"/>
              <w:rPr>
                <w:rFonts w:cs="Arial"/>
                <w:b/>
              </w:rPr>
            </w:pPr>
            <w:r w:rsidRPr="00CF010D">
              <w:rPr>
                <w:rFonts w:cs="Arial"/>
                <w:b/>
              </w:rPr>
              <w:t>Ergebnis</w:t>
            </w:r>
          </w:p>
        </w:tc>
        <w:tc>
          <w:tcPr>
            <w:tcW w:w="1203" w:type="dxa"/>
          </w:tcPr>
          <w:p w:rsidR="00CF010D" w:rsidRPr="00CF010D" w:rsidRDefault="00CF010D" w:rsidP="00CF010D">
            <w:pPr>
              <w:jc w:val="right"/>
              <w:rPr>
                <w:rFonts w:cs="Arial"/>
                <w:b/>
              </w:rPr>
            </w:pPr>
            <w:r w:rsidRPr="00CF010D">
              <w:rPr>
                <w:rFonts w:cs="Arial"/>
                <w:b/>
              </w:rPr>
              <w:t>-12 T€</w:t>
            </w:r>
          </w:p>
        </w:tc>
      </w:tr>
    </w:tbl>
    <w:p w:rsidR="00CF010D" w:rsidRDefault="00CF010D" w:rsidP="00E20C5A">
      <w:pPr>
        <w:ind w:left="357"/>
        <w:jc w:val="both"/>
        <w:rPr>
          <w:rFonts w:cs="Arial"/>
        </w:rPr>
      </w:pPr>
    </w:p>
    <w:p w:rsidR="00CF010D" w:rsidRDefault="00596888" w:rsidP="00E20C5A">
      <w:pPr>
        <w:ind w:left="357"/>
        <w:jc w:val="both"/>
        <w:rPr>
          <w:rFonts w:cs="Arial"/>
        </w:rPr>
      </w:pPr>
      <w:r>
        <w:rPr>
          <w:rFonts w:cs="Arial"/>
        </w:rPr>
        <w:t>Bei einem Ergebnis von -12.000 € pro Jahr entwickelt sich die Bilanz in den nächsten drei Jahren folgendermaßen:</w:t>
      </w:r>
    </w:p>
    <w:p w:rsidR="00596888" w:rsidRDefault="00596888" w:rsidP="00E20C5A">
      <w:pPr>
        <w:ind w:left="357"/>
        <w:jc w:val="both"/>
        <w:rPr>
          <w:rFonts w:cs="Arial"/>
        </w:rPr>
      </w:pPr>
    </w:p>
    <w:p w:rsidR="00596888" w:rsidRDefault="00596888" w:rsidP="00E20C5A">
      <w:pPr>
        <w:ind w:left="357"/>
        <w:jc w:val="both"/>
        <w:rPr>
          <w:rFonts w:cs="Arial"/>
        </w:rPr>
      </w:pPr>
    </w:p>
    <w:p w:rsidR="00596888" w:rsidRDefault="00596888" w:rsidP="00E20C5A">
      <w:pPr>
        <w:ind w:left="357"/>
        <w:jc w:val="both"/>
        <w:rPr>
          <w:rFonts w:cs="Arial"/>
        </w:rPr>
      </w:pPr>
    </w:p>
    <w:p w:rsidR="00596888" w:rsidRDefault="00596888" w:rsidP="00E20C5A">
      <w:pPr>
        <w:ind w:left="357"/>
        <w:jc w:val="both"/>
        <w:rPr>
          <w:rFonts w:cs="Arial"/>
        </w:rPr>
      </w:pPr>
    </w:p>
    <w:tbl>
      <w:tblPr>
        <w:tblStyle w:val="Tabellenraster"/>
        <w:tblW w:w="0" w:type="auto"/>
        <w:tblInd w:w="357" w:type="dxa"/>
        <w:tblLook w:val="04A0" w:firstRow="1" w:lastRow="0" w:firstColumn="1" w:lastColumn="0" w:noHBand="0" w:noVBand="1"/>
      </w:tblPr>
      <w:tblGrid>
        <w:gridCol w:w="1456"/>
        <w:gridCol w:w="875"/>
        <w:gridCol w:w="571"/>
        <w:gridCol w:w="1446"/>
        <w:gridCol w:w="681"/>
        <w:gridCol w:w="2222"/>
        <w:gridCol w:w="1454"/>
      </w:tblGrid>
      <w:tr w:rsidR="00596888" w:rsidRPr="000263AC" w:rsidTr="008757FF">
        <w:tc>
          <w:tcPr>
            <w:tcW w:w="1456" w:type="dxa"/>
            <w:tcBorders>
              <w:top w:val="single" w:sz="4" w:space="0" w:color="auto"/>
              <w:left w:val="single" w:sz="4" w:space="0" w:color="auto"/>
              <w:right w:val="nil"/>
            </w:tcBorders>
          </w:tcPr>
          <w:p w:rsidR="00596888" w:rsidRPr="000263AC" w:rsidRDefault="00596888" w:rsidP="008757FF">
            <w:pPr>
              <w:jc w:val="both"/>
              <w:rPr>
                <w:rFonts w:cs="Arial"/>
                <w:b/>
              </w:rPr>
            </w:pPr>
            <w:r w:rsidRPr="000263AC">
              <w:rPr>
                <w:rFonts w:cs="Arial"/>
                <w:b/>
              </w:rPr>
              <w:t>A</w:t>
            </w:r>
          </w:p>
        </w:tc>
        <w:tc>
          <w:tcPr>
            <w:tcW w:w="5795" w:type="dxa"/>
            <w:gridSpan w:val="5"/>
            <w:tcBorders>
              <w:top w:val="single" w:sz="4" w:space="0" w:color="auto"/>
              <w:left w:val="nil"/>
              <w:right w:val="nil"/>
            </w:tcBorders>
          </w:tcPr>
          <w:p w:rsidR="00596888" w:rsidRPr="000263AC" w:rsidRDefault="00596888" w:rsidP="008757FF">
            <w:pPr>
              <w:jc w:val="center"/>
              <w:rPr>
                <w:rFonts w:cs="Arial"/>
                <w:b/>
              </w:rPr>
            </w:pPr>
            <w:r>
              <w:rPr>
                <w:rFonts w:cs="Arial"/>
                <w:b/>
              </w:rPr>
              <w:t xml:space="preserve">Bilanz nach </w:t>
            </w:r>
            <w:r w:rsidRPr="000263AC">
              <w:rPr>
                <w:rFonts w:cs="Arial"/>
                <w:b/>
              </w:rPr>
              <w:t>Bewertung</w:t>
            </w:r>
            <w:r>
              <w:rPr>
                <w:rFonts w:cs="Arial"/>
                <w:b/>
              </w:rPr>
              <w:t xml:space="preserve"> (1. Jahr)</w:t>
            </w:r>
          </w:p>
        </w:tc>
        <w:tc>
          <w:tcPr>
            <w:tcW w:w="1454" w:type="dxa"/>
            <w:tcBorders>
              <w:left w:val="nil"/>
            </w:tcBorders>
          </w:tcPr>
          <w:p w:rsidR="00596888" w:rsidRPr="000263AC" w:rsidRDefault="00596888" w:rsidP="008757FF">
            <w:pPr>
              <w:jc w:val="right"/>
              <w:rPr>
                <w:rFonts w:cs="Arial"/>
                <w:b/>
              </w:rPr>
            </w:pPr>
            <w:r w:rsidRPr="000263AC">
              <w:rPr>
                <w:rFonts w:cs="Arial"/>
                <w:b/>
              </w:rPr>
              <w:t>P</w:t>
            </w:r>
          </w:p>
        </w:tc>
      </w:tr>
      <w:tr w:rsidR="00596888" w:rsidTr="008757FF">
        <w:tc>
          <w:tcPr>
            <w:tcW w:w="2331" w:type="dxa"/>
            <w:gridSpan w:val="2"/>
            <w:tcBorders>
              <w:left w:val="single" w:sz="4" w:space="0" w:color="auto"/>
              <w:bottom w:val="nil"/>
              <w:right w:val="nil"/>
            </w:tcBorders>
          </w:tcPr>
          <w:p w:rsidR="00596888" w:rsidRPr="00DB69D5" w:rsidRDefault="00596888" w:rsidP="008757FF">
            <w:pPr>
              <w:jc w:val="both"/>
              <w:rPr>
                <w:rFonts w:cs="Arial"/>
              </w:rPr>
            </w:pPr>
          </w:p>
        </w:tc>
        <w:tc>
          <w:tcPr>
            <w:tcW w:w="571" w:type="dxa"/>
            <w:tcBorders>
              <w:left w:val="nil"/>
              <w:bottom w:val="nil"/>
              <w:right w:val="nil"/>
            </w:tcBorders>
          </w:tcPr>
          <w:p w:rsidR="00596888" w:rsidRPr="00DB69D5" w:rsidRDefault="00596888" w:rsidP="008757FF">
            <w:pPr>
              <w:jc w:val="both"/>
              <w:rPr>
                <w:rFonts w:cs="Arial"/>
              </w:rPr>
            </w:pPr>
          </w:p>
        </w:tc>
        <w:tc>
          <w:tcPr>
            <w:tcW w:w="1446" w:type="dxa"/>
            <w:tcBorders>
              <w:left w:val="nil"/>
              <w:bottom w:val="nil"/>
              <w:right w:val="single" w:sz="4" w:space="0" w:color="auto"/>
            </w:tcBorders>
          </w:tcPr>
          <w:p w:rsidR="00596888" w:rsidRPr="00DB69D5" w:rsidRDefault="00596888" w:rsidP="008757FF">
            <w:pPr>
              <w:jc w:val="both"/>
              <w:rPr>
                <w:rFonts w:cs="Arial"/>
              </w:rPr>
            </w:pPr>
          </w:p>
        </w:tc>
        <w:tc>
          <w:tcPr>
            <w:tcW w:w="681" w:type="dxa"/>
            <w:tcBorders>
              <w:top w:val="nil"/>
              <w:left w:val="single" w:sz="4" w:space="0" w:color="auto"/>
              <w:bottom w:val="nil"/>
              <w:right w:val="nil"/>
            </w:tcBorders>
          </w:tcPr>
          <w:p w:rsidR="00596888" w:rsidRPr="00DB69D5" w:rsidRDefault="00596888" w:rsidP="008757FF">
            <w:pPr>
              <w:jc w:val="both"/>
              <w:rPr>
                <w:rFonts w:cs="Arial"/>
              </w:rPr>
            </w:pPr>
          </w:p>
        </w:tc>
        <w:tc>
          <w:tcPr>
            <w:tcW w:w="2222" w:type="dxa"/>
            <w:tcBorders>
              <w:top w:val="nil"/>
              <w:left w:val="nil"/>
              <w:bottom w:val="nil"/>
              <w:right w:val="nil"/>
            </w:tcBorders>
          </w:tcPr>
          <w:p w:rsidR="00596888" w:rsidRPr="00DB69D5" w:rsidRDefault="00596888" w:rsidP="008757FF">
            <w:pPr>
              <w:jc w:val="both"/>
              <w:rPr>
                <w:rFonts w:cs="Arial"/>
              </w:rPr>
            </w:pPr>
          </w:p>
        </w:tc>
        <w:tc>
          <w:tcPr>
            <w:tcW w:w="1454" w:type="dxa"/>
            <w:tcBorders>
              <w:top w:val="nil"/>
              <w:left w:val="nil"/>
              <w:bottom w:val="nil"/>
            </w:tcBorders>
          </w:tcPr>
          <w:p w:rsidR="00596888" w:rsidRPr="00DB69D5" w:rsidRDefault="00596888" w:rsidP="008757FF">
            <w:pPr>
              <w:jc w:val="both"/>
              <w:rPr>
                <w:rFonts w:cs="Arial"/>
              </w:rPr>
            </w:pPr>
          </w:p>
        </w:tc>
      </w:tr>
      <w:tr w:rsidR="00596888" w:rsidTr="008757FF">
        <w:tc>
          <w:tcPr>
            <w:tcW w:w="2331" w:type="dxa"/>
            <w:gridSpan w:val="2"/>
            <w:tcBorders>
              <w:top w:val="nil"/>
              <w:left w:val="single" w:sz="4" w:space="0" w:color="auto"/>
              <w:bottom w:val="nil"/>
              <w:right w:val="nil"/>
            </w:tcBorders>
          </w:tcPr>
          <w:p w:rsidR="00596888" w:rsidRPr="00DB69D5" w:rsidRDefault="00596888" w:rsidP="008757FF">
            <w:pPr>
              <w:jc w:val="both"/>
              <w:rPr>
                <w:rFonts w:cs="Arial"/>
              </w:rPr>
            </w:pPr>
            <w:r>
              <w:rPr>
                <w:rFonts w:cs="Arial"/>
              </w:rPr>
              <w:t>Anlagevermögen</w:t>
            </w:r>
          </w:p>
        </w:tc>
        <w:tc>
          <w:tcPr>
            <w:tcW w:w="571" w:type="dxa"/>
            <w:tcBorders>
              <w:top w:val="nil"/>
              <w:left w:val="nil"/>
              <w:bottom w:val="nil"/>
              <w:right w:val="nil"/>
            </w:tcBorders>
          </w:tcPr>
          <w:p w:rsidR="00596888" w:rsidRPr="00DB69D5" w:rsidRDefault="00596888" w:rsidP="008757FF">
            <w:pPr>
              <w:jc w:val="both"/>
              <w:rPr>
                <w:rFonts w:cs="Arial"/>
              </w:rPr>
            </w:pPr>
          </w:p>
        </w:tc>
        <w:tc>
          <w:tcPr>
            <w:tcW w:w="1446" w:type="dxa"/>
            <w:tcBorders>
              <w:top w:val="nil"/>
              <w:left w:val="nil"/>
              <w:bottom w:val="nil"/>
              <w:right w:val="single" w:sz="4" w:space="0" w:color="auto"/>
            </w:tcBorders>
          </w:tcPr>
          <w:p w:rsidR="00596888" w:rsidRPr="00DB69D5" w:rsidRDefault="00596888" w:rsidP="008757FF">
            <w:pPr>
              <w:jc w:val="right"/>
              <w:rPr>
                <w:rFonts w:cs="Arial"/>
              </w:rPr>
            </w:pPr>
            <w:r>
              <w:rPr>
                <w:rFonts w:cs="Arial"/>
              </w:rPr>
              <w:t>180 T€</w:t>
            </w:r>
          </w:p>
        </w:tc>
        <w:tc>
          <w:tcPr>
            <w:tcW w:w="681" w:type="dxa"/>
            <w:tcBorders>
              <w:top w:val="nil"/>
              <w:left w:val="single" w:sz="4" w:space="0" w:color="auto"/>
              <w:bottom w:val="nil"/>
              <w:right w:val="nil"/>
            </w:tcBorders>
          </w:tcPr>
          <w:p w:rsidR="00596888" w:rsidRPr="00DB69D5" w:rsidRDefault="00596888" w:rsidP="008757FF">
            <w:pPr>
              <w:jc w:val="both"/>
              <w:rPr>
                <w:rFonts w:cs="Arial"/>
              </w:rPr>
            </w:pPr>
            <w:r>
              <w:rPr>
                <w:rFonts w:cs="Arial"/>
              </w:rPr>
              <w:t>EK</w:t>
            </w:r>
          </w:p>
        </w:tc>
        <w:tc>
          <w:tcPr>
            <w:tcW w:w="2222" w:type="dxa"/>
            <w:tcBorders>
              <w:top w:val="nil"/>
              <w:left w:val="nil"/>
              <w:bottom w:val="nil"/>
              <w:right w:val="nil"/>
            </w:tcBorders>
          </w:tcPr>
          <w:p w:rsidR="00596888" w:rsidRPr="00DB69D5" w:rsidRDefault="00596888" w:rsidP="008757FF">
            <w:pPr>
              <w:jc w:val="both"/>
              <w:rPr>
                <w:rFonts w:cs="Arial"/>
              </w:rPr>
            </w:pPr>
            <w:r>
              <w:rPr>
                <w:rFonts w:cs="Arial"/>
              </w:rPr>
              <w:t>Kapitalstock</w:t>
            </w:r>
          </w:p>
        </w:tc>
        <w:tc>
          <w:tcPr>
            <w:tcW w:w="1454" w:type="dxa"/>
            <w:tcBorders>
              <w:top w:val="nil"/>
              <w:left w:val="nil"/>
              <w:bottom w:val="nil"/>
            </w:tcBorders>
          </w:tcPr>
          <w:p w:rsidR="00596888" w:rsidRPr="00DB69D5" w:rsidRDefault="00596888" w:rsidP="008757FF">
            <w:pPr>
              <w:jc w:val="right"/>
              <w:rPr>
                <w:rFonts w:cs="Arial"/>
              </w:rPr>
            </w:pPr>
            <w:r>
              <w:rPr>
                <w:rFonts w:cs="Arial"/>
              </w:rPr>
              <w:t>220 T€</w:t>
            </w:r>
          </w:p>
        </w:tc>
      </w:tr>
      <w:tr w:rsidR="00596888" w:rsidTr="008757FF">
        <w:tc>
          <w:tcPr>
            <w:tcW w:w="2331" w:type="dxa"/>
            <w:gridSpan w:val="2"/>
            <w:tcBorders>
              <w:top w:val="nil"/>
              <w:left w:val="single" w:sz="4" w:space="0" w:color="auto"/>
              <w:bottom w:val="nil"/>
              <w:right w:val="nil"/>
            </w:tcBorders>
          </w:tcPr>
          <w:p w:rsidR="00596888" w:rsidRPr="00DB69D5" w:rsidRDefault="00596888" w:rsidP="008757FF">
            <w:pPr>
              <w:jc w:val="both"/>
              <w:rPr>
                <w:rFonts w:cs="Arial"/>
              </w:rPr>
            </w:pPr>
          </w:p>
        </w:tc>
        <w:tc>
          <w:tcPr>
            <w:tcW w:w="571" w:type="dxa"/>
            <w:tcBorders>
              <w:top w:val="nil"/>
              <w:left w:val="nil"/>
              <w:bottom w:val="nil"/>
              <w:right w:val="nil"/>
            </w:tcBorders>
          </w:tcPr>
          <w:p w:rsidR="00596888" w:rsidRPr="00DB69D5" w:rsidRDefault="00596888" w:rsidP="008757FF">
            <w:pPr>
              <w:jc w:val="both"/>
              <w:rPr>
                <w:rFonts w:cs="Arial"/>
              </w:rPr>
            </w:pPr>
          </w:p>
        </w:tc>
        <w:tc>
          <w:tcPr>
            <w:tcW w:w="1446" w:type="dxa"/>
            <w:tcBorders>
              <w:top w:val="nil"/>
              <w:left w:val="nil"/>
              <w:bottom w:val="nil"/>
              <w:right w:val="single" w:sz="4" w:space="0" w:color="auto"/>
            </w:tcBorders>
          </w:tcPr>
          <w:p w:rsidR="00596888" w:rsidRPr="00DB69D5" w:rsidRDefault="00596888" w:rsidP="008757FF">
            <w:pPr>
              <w:jc w:val="right"/>
              <w:rPr>
                <w:rFonts w:cs="Arial"/>
              </w:rPr>
            </w:pPr>
          </w:p>
        </w:tc>
        <w:tc>
          <w:tcPr>
            <w:tcW w:w="681" w:type="dxa"/>
            <w:tcBorders>
              <w:top w:val="nil"/>
              <w:left w:val="single" w:sz="4" w:space="0" w:color="auto"/>
              <w:bottom w:val="nil"/>
              <w:right w:val="nil"/>
            </w:tcBorders>
          </w:tcPr>
          <w:p w:rsidR="00596888" w:rsidRPr="00DB69D5" w:rsidRDefault="00596888" w:rsidP="008757FF">
            <w:pPr>
              <w:jc w:val="both"/>
              <w:rPr>
                <w:rFonts w:cs="Arial"/>
              </w:rPr>
            </w:pPr>
          </w:p>
        </w:tc>
        <w:tc>
          <w:tcPr>
            <w:tcW w:w="2222" w:type="dxa"/>
            <w:tcBorders>
              <w:top w:val="nil"/>
              <w:left w:val="nil"/>
              <w:bottom w:val="nil"/>
              <w:right w:val="nil"/>
            </w:tcBorders>
          </w:tcPr>
          <w:p w:rsidR="00596888" w:rsidRPr="00DB69D5" w:rsidRDefault="00596888" w:rsidP="008757FF">
            <w:pPr>
              <w:jc w:val="both"/>
              <w:rPr>
                <w:rFonts w:cs="Arial"/>
              </w:rPr>
            </w:pPr>
            <w:r>
              <w:rPr>
                <w:rFonts w:cs="Arial"/>
              </w:rPr>
              <w:t>Rücklagen</w:t>
            </w:r>
          </w:p>
        </w:tc>
        <w:tc>
          <w:tcPr>
            <w:tcW w:w="1454" w:type="dxa"/>
            <w:tcBorders>
              <w:top w:val="nil"/>
              <w:left w:val="nil"/>
              <w:bottom w:val="nil"/>
            </w:tcBorders>
          </w:tcPr>
          <w:p w:rsidR="00596888" w:rsidRPr="00DB69D5" w:rsidRDefault="00596888" w:rsidP="008757FF">
            <w:pPr>
              <w:jc w:val="right"/>
              <w:rPr>
                <w:rFonts w:cs="Arial"/>
              </w:rPr>
            </w:pPr>
            <w:r>
              <w:rPr>
                <w:rFonts w:cs="Arial"/>
              </w:rPr>
              <w:t>8 T€</w:t>
            </w:r>
          </w:p>
        </w:tc>
      </w:tr>
      <w:tr w:rsidR="00596888" w:rsidTr="008757FF">
        <w:tc>
          <w:tcPr>
            <w:tcW w:w="2331" w:type="dxa"/>
            <w:gridSpan w:val="2"/>
            <w:tcBorders>
              <w:top w:val="nil"/>
              <w:left w:val="single" w:sz="4" w:space="0" w:color="auto"/>
              <w:bottom w:val="nil"/>
              <w:right w:val="nil"/>
            </w:tcBorders>
          </w:tcPr>
          <w:p w:rsidR="00596888" w:rsidRPr="00DB69D5" w:rsidRDefault="00596888" w:rsidP="008757FF">
            <w:pPr>
              <w:jc w:val="both"/>
              <w:rPr>
                <w:rFonts w:cs="Arial"/>
              </w:rPr>
            </w:pPr>
            <w:r>
              <w:rPr>
                <w:rFonts w:cs="Arial"/>
              </w:rPr>
              <w:t>Umlaufvermögen</w:t>
            </w:r>
          </w:p>
        </w:tc>
        <w:tc>
          <w:tcPr>
            <w:tcW w:w="571" w:type="dxa"/>
            <w:tcBorders>
              <w:top w:val="nil"/>
              <w:left w:val="nil"/>
              <w:bottom w:val="nil"/>
              <w:right w:val="nil"/>
            </w:tcBorders>
          </w:tcPr>
          <w:p w:rsidR="00596888" w:rsidRPr="00DB69D5" w:rsidRDefault="00596888" w:rsidP="008757FF">
            <w:pPr>
              <w:jc w:val="both"/>
              <w:rPr>
                <w:rFonts w:cs="Arial"/>
              </w:rPr>
            </w:pPr>
          </w:p>
        </w:tc>
        <w:tc>
          <w:tcPr>
            <w:tcW w:w="1446" w:type="dxa"/>
            <w:tcBorders>
              <w:top w:val="nil"/>
              <w:left w:val="nil"/>
              <w:bottom w:val="nil"/>
              <w:right w:val="single" w:sz="4" w:space="0" w:color="auto"/>
            </w:tcBorders>
          </w:tcPr>
          <w:p w:rsidR="00596888" w:rsidRPr="00DB69D5" w:rsidRDefault="00596888" w:rsidP="008757FF">
            <w:pPr>
              <w:jc w:val="right"/>
              <w:rPr>
                <w:rFonts w:cs="Arial"/>
              </w:rPr>
            </w:pPr>
            <w:r>
              <w:rPr>
                <w:rFonts w:cs="Arial"/>
              </w:rPr>
              <w:t>120 T€</w:t>
            </w:r>
          </w:p>
        </w:tc>
        <w:tc>
          <w:tcPr>
            <w:tcW w:w="681" w:type="dxa"/>
            <w:tcBorders>
              <w:top w:val="nil"/>
              <w:left w:val="single" w:sz="4" w:space="0" w:color="auto"/>
              <w:bottom w:val="nil"/>
              <w:right w:val="nil"/>
            </w:tcBorders>
          </w:tcPr>
          <w:p w:rsidR="00596888" w:rsidRPr="00DB69D5" w:rsidRDefault="00596888" w:rsidP="008757FF">
            <w:pPr>
              <w:jc w:val="both"/>
              <w:rPr>
                <w:rFonts w:cs="Arial"/>
              </w:rPr>
            </w:pPr>
          </w:p>
        </w:tc>
        <w:tc>
          <w:tcPr>
            <w:tcW w:w="2222" w:type="dxa"/>
            <w:tcBorders>
              <w:top w:val="nil"/>
              <w:left w:val="nil"/>
              <w:bottom w:val="nil"/>
              <w:right w:val="nil"/>
            </w:tcBorders>
          </w:tcPr>
          <w:p w:rsidR="00596888" w:rsidRPr="00DB69D5" w:rsidRDefault="00596888" w:rsidP="008757FF">
            <w:pPr>
              <w:jc w:val="both"/>
              <w:rPr>
                <w:rFonts w:cs="Arial"/>
              </w:rPr>
            </w:pPr>
            <w:r>
              <w:rPr>
                <w:rFonts w:cs="Arial"/>
              </w:rPr>
              <w:t>Ergebnisvortrag</w:t>
            </w:r>
          </w:p>
        </w:tc>
        <w:tc>
          <w:tcPr>
            <w:tcW w:w="1454" w:type="dxa"/>
            <w:tcBorders>
              <w:top w:val="nil"/>
              <w:left w:val="nil"/>
              <w:bottom w:val="nil"/>
            </w:tcBorders>
          </w:tcPr>
          <w:p w:rsidR="00596888" w:rsidRPr="00DB69D5" w:rsidRDefault="00596888" w:rsidP="008757FF">
            <w:pPr>
              <w:jc w:val="right"/>
              <w:rPr>
                <w:rFonts w:cs="Arial"/>
              </w:rPr>
            </w:pPr>
            <w:r>
              <w:rPr>
                <w:rFonts w:cs="Arial"/>
              </w:rPr>
              <w:t>0 T€</w:t>
            </w:r>
          </w:p>
        </w:tc>
      </w:tr>
      <w:tr w:rsidR="00596888" w:rsidTr="008757FF">
        <w:tc>
          <w:tcPr>
            <w:tcW w:w="2331" w:type="dxa"/>
            <w:gridSpan w:val="2"/>
            <w:tcBorders>
              <w:top w:val="nil"/>
              <w:left w:val="single" w:sz="4" w:space="0" w:color="auto"/>
              <w:bottom w:val="nil"/>
              <w:right w:val="nil"/>
            </w:tcBorders>
          </w:tcPr>
          <w:p w:rsidR="00596888" w:rsidRPr="00DB69D5" w:rsidRDefault="00596888" w:rsidP="008757FF">
            <w:pPr>
              <w:jc w:val="both"/>
              <w:rPr>
                <w:rFonts w:cs="Arial"/>
              </w:rPr>
            </w:pPr>
          </w:p>
        </w:tc>
        <w:tc>
          <w:tcPr>
            <w:tcW w:w="571" w:type="dxa"/>
            <w:tcBorders>
              <w:top w:val="nil"/>
              <w:left w:val="nil"/>
              <w:bottom w:val="nil"/>
              <w:right w:val="nil"/>
            </w:tcBorders>
          </w:tcPr>
          <w:p w:rsidR="00596888" w:rsidRPr="00DB69D5" w:rsidRDefault="00596888" w:rsidP="008757FF">
            <w:pPr>
              <w:jc w:val="both"/>
              <w:rPr>
                <w:rFonts w:cs="Arial"/>
              </w:rPr>
            </w:pPr>
          </w:p>
        </w:tc>
        <w:tc>
          <w:tcPr>
            <w:tcW w:w="1446" w:type="dxa"/>
            <w:tcBorders>
              <w:top w:val="nil"/>
              <w:left w:val="nil"/>
              <w:bottom w:val="nil"/>
              <w:right w:val="single" w:sz="4" w:space="0" w:color="auto"/>
            </w:tcBorders>
          </w:tcPr>
          <w:p w:rsidR="00596888" w:rsidRPr="00DB69D5" w:rsidRDefault="00596888" w:rsidP="008757FF">
            <w:pPr>
              <w:jc w:val="right"/>
              <w:rPr>
                <w:rFonts w:cs="Arial"/>
              </w:rPr>
            </w:pPr>
          </w:p>
        </w:tc>
        <w:tc>
          <w:tcPr>
            <w:tcW w:w="2903" w:type="dxa"/>
            <w:gridSpan w:val="2"/>
            <w:tcBorders>
              <w:top w:val="nil"/>
              <w:left w:val="single" w:sz="4" w:space="0" w:color="auto"/>
              <w:bottom w:val="nil"/>
              <w:right w:val="nil"/>
            </w:tcBorders>
          </w:tcPr>
          <w:p w:rsidR="00596888" w:rsidRPr="00DB69D5" w:rsidRDefault="00596888" w:rsidP="008757FF">
            <w:pPr>
              <w:jc w:val="both"/>
              <w:rPr>
                <w:rFonts w:cs="Arial"/>
              </w:rPr>
            </w:pPr>
            <w:r>
              <w:rPr>
                <w:rFonts w:cs="Arial"/>
              </w:rPr>
              <w:t>Sonderposten</w:t>
            </w:r>
          </w:p>
        </w:tc>
        <w:tc>
          <w:tcPr>
            <w:tcW w:w="1454" w:type="dxa"/>
            <w:tcBorders>
              <w:top w:val="nil"/>
              <w:left w:val="nil"/>
              <w:bottom w:val="nil"/>
            </w:tcBorders>
          </w:tcPr>
          <w:p w:rsidR="00596888" w:rsidRPr="00DB69D5" w:rsidRDefault="00596888" w:rsidP="008757FF">
            <w:pPr>
              <w:jc w:val="right"/>
              <w:rPr>
                <w:rFonts w:cs="Arial"/>
              </w:rPr>
            </w:pPr>
            <w:r>
              <w:rPr>
                <w:rFonts w:cs="Arial"/>
              </w:rPr>
              <w:t>72 T€</w:t>
            </w:r>
          </w:p>
        </w:tc>
      </w:tr>
      <w:tr w:rsidR="00596888" w:rsidTr="008757FF">
        <w:tc>
          <w:tcPr>
            <w:tcW w:w="2331" w:type="dxa"/>
            <w:gridSpan w:val="2"/>
            <w:tcBorders>
              <w:top w:val="nil"/>
              <w:left w:val="single" w:sz="4" w:space="0" w:color="auto"/>
              <w:bottom w:val="single" w:sz="4" w:space="0" w:color="auto"/>
              <w:right w:val="nil"/>
            </w:tcBorders>
          </w:tcPr>
          <w:p w:rsidR="00596888" w:rsidRDefault="00596888" w:rsidP="008757FF">
            <w:pPr>
              <w:jc w:val="both"/>
              <w:rPr>
                <w:rFonts w:cs="Arial"/>
              </w:rPr>
            </w:pPr>
            <w:r>
              <w:rPr>
                <w:rFonts w:cs="Arial"/>
              </w:rPr>
              <w:t>Übrige Aktiva</w:t>
            </w:r>
          </w:p>
        </w:tc>
        <w:tc>
          <w:tcPr>
            <w:tcW w:w="571" w:type="dxa"/>
            <w:tcBorders>
              <w:top w:val="nil"/>
              <w:left w:val="nil"/>
              <w:bottom w:val="single" w:sz="4" w:space="0" w:color="auto"/>
              <w:right w:val="nil"/>
            </w:tcBorders>
          </w:tcPr>
          <w:p w:rsidR="00596888" w:rsidRPr="00DB69D5" w:rsidRDefault="00596888" w:rsidP="008757FF">
            <w:pPr>
              <w:jc w:val="both"/>
              <w:rPr>
                <w:rFonts w:cs="Arial"/>
              </w:rPr>
            </w:pPr>
          </w:p>
        </w:tc>
        <w:tc>
          <w:tcPr>
            <w:tcW w:w="1446" w:type="dxa"/>
            <w:tcBorders>
              <w:top w:val="nil"/>
              <w:left w:val="nil"/>
              <w:bottom w:val="single" w:sz="4" w:space="0" w:color="auto"/>
              <w:right w:val="single" w:sz="4" w:space="0" w:color="auto"/>
            </w:tcBorders>
          </w:tcPr>
          <w:p w:rsidR="00596888" w:rsidRPr="00DB69D5" w:rsidRDefault="00596888" w:rsidP="008757FF">
            <w:pPr>
              <w:jc w:val="right"/>
              <w:rPr>
                <w:rFonts w:cs="Arial"/>
              </w:rPr>
            </w:pPr>
            <w:r>
              <w:rPr>
                <w:rFonts w:cs="Arial"/>
              </w:rPr>
              <w:t>0 T€</w:t>
            </w:r>
          </w:p>
        </w:tc>
        <w:tc>
          <w:tcPr>
            <w:tcW w:w="2903" w:type="dxa"/>
            <w:gridSpan w:val="2"/>
            <w:tcBorders>
              <w:top w:val="nil"/>
              <w:left w:val="single" w:sz="4" w:space="0" w:color="auto"/>
              <w:right w:val="nil"/>
            </w:tcBorders>
          </w:tcPr>
          <w:p w:rsidR="00596888" w:rsidRPr="00DB69D5" w:rsidRDefault="00596888" w:rsidP="008757FF">
            <w:pPr>
              <w:jc w:val="both"/>
              <w:rPr>
                <w:rFonts w:cs="Arial"/>
              </w:rPr>
            </w:pPr>
            <w:r>
              <w:rPr>
                <w:rFonts w:cs="Arial"/>
              </w:rPr>
              <w:t>Übrige Passiva</w:t>
            </w:r>
          </w:p>
        </w:tc>
        <w:tc>
          <w:tcPr>
            <w:tcW w:w="1454" w:type="dxa"/>
            <w:tcBorders>
              <w:top w:val="nil"/>
              <w:left w:val="nil"/>
            </w:tcBorders>
          </w:tcPr>
          <w:p w:rsidR="00596888" w:rsidRPr="00DB69D5" w:rsidRDefault="00596888" w:rsidP="008757FF">
            <w:pPr>
              <w:jc w:val="right"/>
              <w:rPr>
                <w:rFonts w:cs="Arial"/>
              </w:rPr>
            </w:pPr>
            <w:r>
              <w:rPr>
                <w:rFonts w:cs="Arial"/>
              </w:rPr>
              <w:t>0 T€</w:t>
            </w:r>
          </w:p>
        </w:tc>
      </w:tr>
      <w:tr w:rsidR="00596888" w:rsidTr="008757FF">
        <w:tc>
          <w:tcPr>
            <w:tcW w:w="2331" w:type="dxa"/>
            <w:gridSpan w:val="2"/>
            <w:tcBorders>
              <w:top w:val="nil"/>
              <w:left w:val="single" w:sz="4" w:space="0" w:color="auto"/>
              <w:bottom w:val="single" w:sz="4" w:space="0" w:color="auto"/>
              <w:right w:val="nil"/>
            </w:tcBorders>
          </w:tcPr>
          <w:p w:rsidR="00596888" w:rsidRPr="00DB69D5" w:rsidRDefault="00596888" w:rsidP="008757FF">
            <w:pPr>
              <w:jc w:val="right"/>
              <w:rPr>
                <w:rFonts w:cs="Arial"/>
              </w:rPr>
            </w:pPr>
          </w:p>
        </w:tc>
        <w:tc>
          <w:tcPr>
            <w:tcW w:w="571" w:type="dxa"/>
            <w:tcBorders>
              <w:top w:val="nil"/>
              <w:left w:val="nil"/>
              <w:bottom w:val="single" w:sz="4" w:space="0" w:color="auto"/>
              <w:right w:val="nil"/>
            </w:tcBorders>
          </w:tcPr>
          <w:p w:rsidR="00596888" w:rsidRPr="00DB69D5" w:rsidRDefault="00596888" w:rsidP="008757FF">
            <w:pPr>
              <w:jc w:val="right"/>
              <w:rPr>
                <w:rFonts w:cs="Arial"/>
              </w:rPr>
            </w:pPr>
          </w:p>
        </w:tc>
        <w:tc>
          <w:tcPr>
            <w:tcW w:w="1446" w:type="dxa"/>
            <w:tcBorders>
              <w:top w:val="nil"/>
              <w:left w:val="nil"/>
              <w:bottom w:val="single" w:sz="4" w:space="0" w:color="auto"/>
              <w:right w:val="single" w:sz="4" w:space="0" w:color="auto"/>
            </w:tcBorders>
          </w:tcPr>
          <w:p w:rsidR="00596888" w:rsidRPr="00DB69D5" w:rsidRDefault="00596888" w:rsidP="00596888">
            <w:pPr>
              <w:jc w:val="right"/>
              <w:rPr>
                <w:rFonts w:cs="Arial"/>
              </w:rPr>
            </w:pPr>
            <w:r>
              <w:rPr>
                <w:rFonts w:cs="Arial"/>
              </w:rPr>
              <w:t>300 T€</w:t>
            </w:r>
          </w:p>
        </w:tc>
        <w:tc>
          <w:tcPr>
            <w:tcW w:w="681" w:type="dxa"/>
            <w:tcBorders>
              <w:top w:val="nil"/>
              <w:left w:val="single" w:sz="4" w:space="0" w:color="auto"/>
              <w:right w:val="nil"/>
            </w:tcBorders>
          </w:tcPr>
          <w:p w:rsidR="00596888" w:rsidRPr="00DB69D5" w:rsidRDefault="00596888" w:rsidP="008757FF">
            <w:pPr>
              <w:jc w:val="right"/>
              <w:rPr>
                <w:rFonts w:cs="Arial"/>
              </w:rPr>
            </w:pPr>
          </w:p>
        </w:tc>
        <w:tc>
          <w:tcPr>
            <w:tcW w:w="2222" w:type="dxa"/>
            <w:tcBorders>
              <w:top w:val="nil"/>
              <w:left w:val="nil"/>
              <w:right w:val="nil"/>
            </w:tcBorders>
          </w:tcPr>
          <w:p w:rsidR="00596888" w:rsidRPr="00DB69D5" w:rsidRDefault="00596888" w:rsidP="008757FF">
            <w:pPr>
              <w:jc w:val="right"/>
              <w:rPr>
                <w:rFonts w:cs="Arial"/>
              </w:rPr>
            </w:pPr>
          </w:p>
        </w:tc>
        <w:tc>
          <w:tcPr>
            <w:tcW w:w="1454" w:type="dxa"/>
            <w:tcBorders>
              <w:top w:val="nil"/>
              <w:left w:val="nil"/>
            </w:tcBorders>
          </w:tcPr>
          <w:p w:rsidR="00596888" w:rsidRPr="00DB69D5" w:rsidRDefault="00596888" w:rsidP="008757FF">
            <w:pPr>
              <w:jc w:val="right"/>
              <w:rPr>
                <w:rFonts w:cs="Arial"/>
              </w:rPr>
            </w:pPr>
            <w:r>
              <w:rPr>
                <w:rFonts w:cs="Arial"/>
              </w:rPr>
              <w:t>300 T€</w:t>
            </w:r>
          </w:p>
        </w:tc>
      </w:tr>
    </w:tbl>
    <w:p w:rsidR="00596888" w:rsidRPr="00FA5A72" w:rsidRDefault="00CF010D" w:rsidP="00E20C5A">
      <w:pPr>
        <w:ind w:left="357"/>
        <w:jc w:val="both"/>
        <w:rPr>
          <w:rFonts w:cs="Arial"/>
        </w:rPr>
      </w:pPr>
      <w:r>
        <w:rPr>
          <w:rFonts w:cs="Arial"/>
        </w:rPr>
        <w:t xml:space="preserve"> </w:t>
      </w:r>
    </w:p>
    <w:tbl>
      <w:tblPr>
        <w:tblStyle w:val="Tabellenraster"/>
        <w:tblW w:w="0" w:type="auto"/>
        <w:tblInd w:w="357" w:type="dxa"/>
        <w:tblLook w:val="04A0" w:firstRow="1" w:lastRow="0" w:firstColumn="1" w:lastColumn="0" w:noHBand="0" w:noVBand="1"/>
      </w:tblPr>
      <w:tblGrid>
        <w:gridCol w:w="1456"/>
        <w:gridCol w:w="875"/>
        <w:gridCol w:w="571"/>
        <w:gridCol w:w="1446"/>
        <w:gridCol w:w="681"/>
        <w:gridCol w:w="2222"/>
        <w:gridCol w:w="1454"/>
      </w:tblGrid>
      <w:tr w:rsidR="00596888" w:rsidRPr="000263AC" w:rsidTr="008757FF">
        <w:tc>
          <w:tcPr>
            <w:tcW w:w="1456" w:type="dxa"/>
            <w:tcBorders>
              <w:top w:val="single" w:sz="4" w:space="0" w:color="auto"/>
              <w:left w:val="single" w:sz="4" w:space="0" w:color="auto"/>
              <w:right w:val="nil"/>
            </w:tcBorders>
          </w:tcPr>
          <w:p w:rsidR="00596888" w:rsidRPr="000263AC" w:rsidRDefault="00596888" w:rsidP="008757FF">
            <w:pPr>
              <w:jc w:val="both"/>
              <w:rPr>
                <w:rFonts w:cs="Arial"/>
                <w:b/>
              </w:rPr>
            </w:pPr>
            <w:r w:rsidRPr="000263AC">
              <w:rPr>
                <w:rFonts w:cs="Arial"/>
                <w:b/>
              </w:rPr>
              <w:t>A</w:t>
            </w:r>
          </w:p>
        </w:tc>
        <w:tc>
          <w:tcPr>
            <w:tcW w:w="5795" w:type="dxa"/>
            <w:gridSpan w:val="5"/>
            <w:tcBorders>
              <w:top w:val="single" w:sz="4" w:space="0" w:color="auto"/>
              <w:left w:val="nil"/>
              <w:right w:val="nil"/>
            </w:tcBorders>
          </w:tcPr>
          <w:p w:rsidR="00596888" w:rsidRPr="000263AC" w:rsidRDefault="00596888" w:rsidP="008757FF">
            <w:pPr>
              <w:jc w:val="center"/>
              <w:rPr>
                <w:rFonts w:cs="Arial"/>
                <w:b/>
              </w:rPr>
            </w:pPr>
            <w:r>
              <w:rPr>
                <w:rFonts w:cs="Arial"/>
                <w:b/>
              </w:rPr>
              <w:t xml:space="preserve">Bilanz nach </w:t>
            </w:r>
            <w:r w:rsidRPr="000263AC">
              <w:rPr>
                <w:rFonts w:cs="Arial"/>
                <w:b/>
              </w:rPr>
              <w:t>Bewertung</w:t>
            </w:r>
            <w:r>
              <w:rPr>
                <w:rFonts w:cs="Arial"/>
                <w:b/>
              </w:rPr>
              <w:t xml:space="preserve"> (2. Jahr)</w:t>
            </w:r>
          </w:p>
        </w:tc>
        <w:tc>
          <w:tcPr>
            <w:tcW w:w="1454" w:type="dxa"/>
            <w:tcBorders>
              <w:left w:val="nil"/>
            </w:tcBorders>
          </w:tcPr>
          <w:p w:rsidR="00596888" w:rsidRPr="000263AC" w:rsidRDefault="00596888" w:rsidP="008757FF">
            <w:pPr>
              <w:jc w:val="right"/>
              <w:rPr>
                <w:rFonts w:cs="Arial"/>
                <w:b/>
              </w:rPr>
            </w:pPr>
            <w:r w:rsidRPr="000263AC">
              <w:rPr>
                <w:rFonts w:cs="Arial"/>
                <w:b/>
              </w:rPr>
              <w:t>P</w:t>
            </w:r>
          </w:p>
        </w:tc>
      </w:tr>
      <w:tr w:rsidR="00596888" w:rsidTr="008757FF">
        <w:tc>
          <w:tcPr>
            <w:tcW w:w="2331" w:type="dxa"/>
            <w:gridSpan w:val="2"/>
            <w:tcBorders>
              <w:left w:val="single" w:sz="4" w:space="0" w:color="auto"/>
              <w:bottom w:val="nil"/>
              <w:right w:val="nil"/>
            </w:tcBorders>
          </w:tcPr>
          <w:p w:rsidR="00596888" w:rsidRPr="00DB69D5" w:rsidRDefault="00596888" w:rsidP="008757FF">
            <w:pPr>
              <w:jc w:val="both"/>
              <w:rPr>
                <w:rFonts w:cs="Arial"/>
              </w:rPr>
            </w:pPr>
          </w:p>
        </w:tc>
        <w:tc>
          <w:tcPr>
            <w:tcW w:w="571" w:type="dxa"/>
            <w:tcBorders>
              <w:left w:val="nil"/>
              <w:bottom w:val="nil"/>
              <w:right w:val="nil"/>
            </w:tcBorders>
          </w:tcPr>
          <w:p w:rsidR="00596888" w:rsidRPr="00DB69D5" w:rsidRDefault="00596888" w:rsidP="008757FF">
            <w:pPr>
              <w:jc w:val="both"/>
              <w:rPr>
                <w:rFonts w:cs="Arial"/>
              </w:rPr>
            </w:pPr>
          </w:p>
        </w:tc>
        <w:tc>
          <w:tcPr>
            <w:tcW w:w="1446" w:type="dxa"/>
            <w:tcBorders>
              <w:left w:val="nil"/>
              <w:bottom w:val="nil"/>
              <w:right w:val="single" w:sz="4" w:space="0" w:color="auto"/>
            </w:tcBorders>
          </w:tcPr>
          <w:p w:rsidR="00596888" w:rsidRPr="00DB69D5" w:rsidRDefault="00596888" w:rsidP="008757FF">
            <w:pPr>
              <w:jc w:val="both"/>
              <w:rPr>
                <w:rFonts w:cs="Arial"/>
              </w:rPr>
            </w:pPr>
          </w:p>
        </w:tc>
        <w:tc>
          <w:tcPr>
            <w:tcW w:w="681" w:type="dxa"/>
            <w:tcBorders>
              <w:top w:val="nil"/>
              <w:left w:val="single" w:sz="4" w:space="0" w:color="auto"/>
              <w:bottom w:val="nil"/>
              <w:right w:val="nil"/>
            </w:tcBorders>
          </w:tcPr>
          <w:p w:rsidR="00596888" w:rsidRPr="00DB69D5" w:rsidRDefault="00596888" w:rsidP="008757FF">
            <w:pPr>
              <w:jc w:val="both"/>
              <w:rPr>
                <w:rFonts w:cs="Arial"/>
              </w:rPr>
            </w:pPr>
          </w:p>
        </w:tc>
        <w:tc>
          <w:tcPr>
            <w:tcW w:w="2222" w:type="dxa"/>
            <w:tcBorders>
              <w:top w:val="nil"/>
              <w:left w:val="nil"/>
              <w:bottom w:val="nil"/>
              <w:right w:val="nil"/>
            </w:tcBorders>
          </w:tcPr>
          <w:p w:rsidR="00596888" w:rsidRPr="00DB69D5" w:rsidRDefault="00596888" w:rsidP="008757FF">
            <w:pPr>
              <w:jc w:val="both"/>
              <w:rPr>
                <w:rFonts w:cs="Arial"/>
              </w:rPr>
            </w:pPr>
          </w:p>
        </w:tc>
        <w:tc>
          <w:tcPr>
            <w:tcW w:w="1454" w:type="dxa"/>
            <w:tcBorders>
              <w:top w:val="nil"/>
              <w:left w:val="nil"/>
              <w:bottom w:val="nil"/>
            </w:tcBorders>
          </w:tcPr>
          <w:p w:rsidR="00596888" w:rsidRPr="00DB69D5" w:rsidRDefault="00596888" w:rsidP="008757FF">
            <w:pPr>
              <w:jc w:val="both"/>
              <w:rPr>
                <w:rFonts w:cs="Arial"/>
              </w:rPr>
            </w:pPr>
          </w:p>
        </w:tc>
      </w:tr>
      <w:tr w:rsidR="00596888" w:rsidTr="008757FF">
        <w:tc>
          <w:tcPr>
            <w:tcW w:w="2331" w:type="dxa"/>
            <w:gridSpan w:val="2"/>
            <w:tcBorders>
              <w:top w:val="nil"/>
              <w:left w:val="single" w:sz="4" w:space="0" w:color="auto"/>
              <w:bottom w:val="nil"/>
              <w:right w:val="nil"/>
            </w:tcBorders>
          </w:tcPr>
          <w:p w:rsidR="00596888" w:rsidRPr="00DB69D5" w:rsidRDefault="00596888" w:rsidP="008757FF">
            <w:pPr>
              <w:jc w:val="both"/>
              <w:rPr>
                <w:rFonts w:cs="Arial"/>
              </w:rPr>
            </w:pPr>
            <w:r>
              <w:rPr>
                <w:rFonts w:cs="Arial"/>
              </w:rPr>
              <w:t>Anlagevermögen</w:t>
            </w:r>
          </w:p>
        </w:tc>
        <w:tc>
          <w:tcPr>
            <w:tcW w:w="571" w:type="dxa"/>
            <w:tcBorders>
              <w:top w:val="nil"/>
              <w:left w:val="nil"/>
              <w:bottom w:val="nil"/>
              <w:right w:val="nil"/>
            </w:tcBorders>
          </w:tcPr>
          <w:p w:rsidR="00596888" w:rsidRPr="00DB69D5" w:rsidRDefault="00596888" w:rsidP="008757FF">
            <w:pPr>
              <w:jc w:val="both"/>
              <w:rPr>
                <w:rFonts w:cs="Arial"/>
              </w:rPr>
            </w:pPr>
          </w:p>
        </w:tc>
        <w:tc>
          <w:tcPr>
            <w:tcW w:w="1446" w:type="dxa"/>
            <w:tcBorders>
              <w:top w:val="nil"/>
              <w:left w:val="nil"/>
              <w:bottom w:val="nil"/>
              <w:right w:val="single" w:sz="4" w:space="0" w:color="auto"/>
            </w:tcBorders>
          </w:tcPr>
          <w:p w:rsidR="00596888" w:rsidRPr="00DB69D5" w:rsidRDefault="00596888" w:rsidP="008757FF">
            <w:pPr>
              <w:jc w:val="right"/>
              <w:rPr>
                <w:rFonts w:cs="Arial"/>
              </w:rPr>
            </w:pPr>
            <w:r>
              <w:rPr>
                <w:rFonts w:cs="Arial"/>
              </w:rPr>
              <w:t>160 T€</w:t>
            </w:r>
          </w:p>
        </w:tc>
        <w:tc>
          <w:tcPr>
            <w:tcW w:w="681" w:type="dxa"/>
            <w:tcBorders>
              <w:top w:val="nil"/>
              <w:left w:val="single" w:sz="4" w:space="0" w:color="auto"/>
              <w:bottom w:val="nil"/>
              <w:right w:val="nil"/>
            </w:tcBorders>
          </w:tcPr>
          <w:p w:rsidR="00596888" w:rsidRPr="00DB69D5" w:rsidRDefault="00596888" w:rsidP="008757FF">
            <w:pPr>
              <w:jc w:val="both"/>
              <w:rPr>
                <w:rFonts w:cs="Arial"/>
              </w:rPr>
            </w:pPr>
            <w:r>
              <w:rPr>
                <w:rFonts w:cs="Arial"/>
              </w:rPr>
              <w:t>EK</w:t>
            </w:r>
          </w:p>
        </w:tc>
        <w:tc>
          <w:tcPr>
            <w:tcW w:w="2222" w:type="dxa"/>
            <w:tcBorders>
              <w:top w:val="nil"/>
              <w:left w:val="nil"/>
              <w:bottom w:val="nil"/>
              <w:right w:val="nil"/>
            </w:tcBorders>
          </w:tcPr>
          <w:p w:rsidR="00596888" w:rsidRPr="00DB69D5" w:rsidRDefault="00596888" w:rsidP="008757FF">
            <w:pPr>
              <w:jc w:val="both"/>
              <w:rPr>
                <w:rFonts w:cs="Arial"/>
              </w:rPr>
            </w:pPr>
            <w:r>
              <w:rPr>
                <w:rFonts w:cs="Arial"/>
              </w:rPr>
              <w:t>Kapitalstock</w:t>
            </w:r>
          </w:p>
        </w:tc>
        <w:tc>
          <w:tcPr>
            <w:tcW w:w="1454" w:type="dxa"/>
            <w:tcBorders>
              <w:top w:val="nil"/>
              <w:left w:val="nil"/>
              <w:bottom w:val="nil"/>
            </w:tcBorders>
          </w:tcPr>
          <w:p w:rsidR="00596888" w:rsidRPr="00DB69D5" w:rsidRDefault="00596888" w:rsidP="008757FF">
            <w:pPr>
              <w:jc w:val="right"/>
              <w:rPr>
                <w:rFonts w:cs="Arial"/>
              </w:rPr>
            </w:pPr>
            <w:r>
              <w:rPr>
                <w:rFonts w:cs="Arial"/>
              </w:rPr>
              <w:t>220 T€</w:t>
            </w:r>
          </w:p>
        </w:tc>
      </w:tr>
      <w:tr w:rsidR="00596888" w:rsidTr="008757FF">
        <w:tc>
          <w:tcPr>
            <w:tcW w:w="2331" w:type="dxa"/>
            <w:gridSpan w:val="2"/>
            <w:tcBorders>
              <w:top w:val="nil"/>
              <w:left w:val="single" w:sz="4" w:space="0" w:color="auto"/>
              <w:bottom w:val="nil"/>
              <w:right w:val="nil"/>
            </w:tcBorders>
          </w:tcPr>
          <w:p w:rsidR="00596888" w:rsidRPr="00DB69D5" w:rsidRDefault="00596888" w:rsidP="008757FF">
            <w:pPr>
              <w:jc w:val="both"/>
              <w:rPr>
                <w:rFonts w:cs="Arial"/>
              </w:rPr>
            </w:pPr>
          </w:p>
        </w:tc>
        <w:tc>
          <w:tcPr>
            <w:tcW w:w="571" w:type="dxa"/>
            <w:tcBorders>
              <w:top w:val="nil"/>
              <w:left w:val="nil"/>
              <w:bottom w:val="nil"/>
              <w:right w:val="nil"/>
            </w:tcBorders>
          </w:tcPr>
          <w:p w:rsidR="00596888" w:rsidRPr="00DB69D5" w:rsidRDefault="00596888" w:rsidP="008757FF">
            <w:pPr>
              <w:jc w:val="both"/>
              <w:rPr>
                <w:rFonts w:cs="Arial"/>
              </w:rPr>
            </w:pPr>
          </w:p>
        </w:tc>
        <w:tc>
          <w:tcPr>
            <w:tcW w:w="1446" w:type="dxa"/>
            <w:tcBorders>
              <w:top w:val="nil"/>
              <w:left w:val="nil"/>
              <w:bottom w:val="nil"/>
              <w:right w:val="single" w:sz="4" w:space="0" w:color="auto"/>
            </w:tcBorders>
          </w:tcPr>
          <w:p w:rsidR="00596888" w:rsidRPr="00DB69D5" w:rsidRDefault="00596888" w:rsidP="008757FF">
            <w:pPr>
              <w:jc w:val="right"/>
              <w:rPr>
                <w:rFonts w:cs="Arial"/>
              </w:rPr>
            </w:pPr>
          </w:p>
        </w:tc>
        <w:tc>
          <w:tcPr>
            <w:tcW w:w="681" w:type="dxa"/>
            <w:tcBorders>
              <w:top w:val="nil"/>
              <w:left w:val="single" w:sz="4" w:space="0" w:color="auto"/>
              <w:bottom w:val="nil"/>
              <w:right w:val="nil"/>
            </w:tcBorders>
          </w:tcPr>
          <w:p w:rsidR="00596888" w:rsidRPr="00DB69D5" w:rsidRDefault="00596888" w:rsidP="008757FF">
            <w:pPr>
              <w:jc w:val="both"/>
              <w:rPr>
                <w:rFonts w:cs="Arial"/>
              </w:rPr>
            </w:pPr>
          </w:p>
        </w:tc>
        <w:tc>
          <w:tcPr>
            <w:tcW w:w="2222" w:type="dxa"/>
            <w:tcBorders>
              <w:top w:val="nil"/>
              <w:left w:val="nil"/>
              <w:bottom w:val="nil"/>
              <w:right w:val="nil"/>
            </w:tcBorders>
          </w:tcPr>
          <w:p w:rsidR="00596888" w:rsidRPr="00DB69D5" w:rsidRDefault="00596888" w:rsidP="008757FF">
            <w:pPr>
              <w:jc w:val="both"/>
              <w:rPr>
                <w:rFonts w:cs="Arial"/>
              </w:rPr>
            </w:pPr>
            <w:r>
              <w:rPr>
                <w:rFonts w:cs="Arial"/>
              </w:rPr>
              <w:t>Rücklagen</w:t>
            </w:r>
          </w:p>
        </w:tc>
        <w:tc>
          <w:tcPr>
            <w:tcW w:w="1454" w:type="dxa"/>
            <w:tcBorders>
              <w:top w:val="nil"/>
              <w:left w:val="nil"/>
              <w:bottom w:val="nil"/>
            </w:tcBorders>
          </w:tcPr>
          <w:p w:rsidR="00596888" w:rsidRPr="00DB69D5" w:rsidRDefault="00596888" w:rsidP="008757FF">
            <w:pPr>
              <w:jc w:val="right"/>
              <w:rPr>
                <w:rFonts w:cs="Arial"/>
              </w:rPr>
            </w:pPr>
            <w:r>
              <w:rPr>
                <w:rFonts w:cs="Arial"/>
              </w:rPr>
              <w:t>0 T€</w:t>
            </w:r>
          </w:p>
        </w:tc>
      </w:tr>
      <w:tr w:rsidR="00596888" w:rsidTr="008757FF">
        <w:tc>
          <w:tcPr>
            <w:tcW w:w="2331" w:type="dxa"/>
            <w:gridSpan w:val="2"/>
            <w:tcBorders>
              <w:top w:val="nil"/>
              <w:left w:val="single" w:sz="4" w:space="0" w:color="auto"/>
              <w:bottom w:val="nil"/>
              <w:right w:val="nil"/>
            </w:tcBorders>
          </w:tcPr>
          <w:p w:rsidR="00596888" w:rsidRPr="00DB69D5" w:rsidRDefault="00596888" w:rsidP="008757FF">
            <w:pPr>
              <w:jc w:val="both"/>
              <w:rPr>
                <w:rFonts w:cs="Arial"/>
              </w:rPr>
            </w:pPr>
            <w:r>
              <w:rPr>
                <w:rFonts w:cs="Arial"/>
              </w:rPr>
              <w:t>Umlaufvermögen</w:t>
            </w:r>
          </w:p>
        </w:tc>
        <w:tc>
          <w:tcPr>
            <w:tcW w:w="571" w:type="dxa"/>
            <w:tcBorders>
              <w:top w:val="nil"/>
              <w:left w:val="nil"/>
              <w:bottom w:val="nil"/>
              <w:right w:val="nil"/>
            </w:tcBorders>
          </w:tcPr>
          <w:p w:rsidR="00596888" w:rsidRPr="00DB69D5" w:rsidRDefault="00596888" w:rsidP="008757FF">
            <w:pPr>
              <w:jc w:val="both"/>
              <w:rPr>
                <w:rFonts w:cs="Arial"/>
              </w:rPr>
            </w:pPr>
          </w:p>
        </w:tc>
        <w:tc>
          <w:tcPr>
            <w:tcW w:w="1446" w:type="dxa"/>
            <w:tcBorders>
              <w:top w:val="nil"/>
              <w:left w:val="nil"/>
              <w:bottom w:val="nil"/>
              <w:right w:val="single" w:sz="4" w:space="0" w:color="auto"/>
            </w:tcBorders>
          </w:tcPr>
          <w:p w:rsidR="00596888" w:rsidRPr="00DB69D5" w:rsidRDefault="00596888" w:rsidP="008757FF">
            <w:pPr>
              <w:jc w:val="right"/>
              <w:rPr>
                <w:rFonts w:cs="Arial"/>
              </w:rPr>
            </w:pPr>
            <w:r>
              <w:rPr>
                <w:rFonts w:cs="Arial"/>
              </w:rPr>
              <w:t>120 T€</w:t>
            </w:r>
          </w:p>
        </w:tc>
        <w:tc>
          <w:tcPr>
            <w:tcW w:w="681" w:type="dxa"/>
            <w:tcBorders>
              <w:top w:val="nil"/>
              <w:left w:val="single" w:sz="4" w:space="0" w:color="auto"/>
              <w:bottom w:val="nil"/>
              <w:right w:val="nil"/>
            </w:tcBorders>
          </w:tcPr>
          <w:p w:rsidR="00596888" w:rsidRPr="00DB69D5" w:rsidRDefault="00596888" w:rsidP="008757FF">
            <w:pPr>
              <w:jc w:val="both"/>
              <w:rPr>
                <w:rFonts w:cs="Arial"/>
              </w:rPr>
            </w:pPr>
          </w:p>
        </w:tc>
        <w:tc>
          <w:tcPr>
            <w:tcW w:w="2222" w:type="dxa"/>
            <w:tcBorders>
              <w:top w:val="nil"/>
              <w:left w:val="nil"/>
              <w:bottom w:val="nil"/>
              <w:right w:val="nil"/>
            </w:tcBorders>
          </w:tcPr>
          <w:p w:rsidR="00596888" w:rsidRPr="00DB69D5" w:rsidRDefault="00596888" w:rsidP="008757FF">
            <w:pPr>
              <w:jc w:val="both"/>
              <w:rPr>
                <w:rFonts w:cs="Arial"/>
              </w:rPr>
            </w:pPr>
            <w:r>
              <w:rPr>
                <w:rFonts w:cs="Arial"/>
              </w:rPr>
              <w:t>Ergebnisvortrag</w:t>
            </w:r>
          </w:p>
        </w:tc>
        <w:tc>
          <w:tcPr>
            <w:tcW w:w="1454" w:type="dxa"/>
            <w:tcBorders>
              <w:top w:val="nil"/>
              <w:left w:val="nil"/>
              <w:bottom w:val="nil"/>
            </w:tcBorders>
          </w:tcPr>
          <w:p w:rsidR="00596888" w:rsidRPr="00DB69D5" w:rsidRDefault="00596888" w:rsidP="008757FF">
            <w:pPr>
              <w:jc w:val="right"/>
              <w:rPr>
                <w:rFonts w:cs="Arial"/>
              </w:rPr>
            </w:pPr>
            <w:r>
              <w:rPr>
                <w:rFonts w:cs="Arial"/>
              </w:rPr>
              <w:t>-4 T€</w:t>
            </w:r>
          </w:p>
        </w:tc>
      </w:tr>
      <w:tr w:rsidR="00596888" w:rsidTr="008757FF">
        <w:tc>
          <w:tcPr>
            <w:tcW w:w="2331" w:type="dxa"/>
            <w:gridSpan w:val="2"/>
            <w:tcBorders>
              <w:top w:val="nil"/>
              <w:left w:val="single" w:sz="4" w:space="0" w:color="auto"/>
              <w:bottom w:val="nil"/>
              <w:right w:val="nil"/>
            </w:tcBorders>
          </w:tcPr>
          <w:p w:rsidR="00596888" w:rsidRPr="00DB69D5" w:rsidRDefault="00596888" w:rsidP="008757FF">
            <w:pPr>
              <w:jc w:val="both"/>
              <w:rPr>
                <w:rFonts w:cs="Arial"/>
              </w:rPr>
            </w:pPr>
          </w:p>
        </w:tc>
        <w:tc>
          <w:tcPr>
            <w:tcW w:w="571" w:type="dxa"/>
            <w:tcBorders>
              <w:top w:val="nil"/>
              <w:left w:val="nil"/>
              <w:bottom w:val="nil"/>
              <w:right w:val="nil"/>
            </w:tcBorders>
          </w:tcPr>
          <w:p w:rsidR="00596888" w:rsidRPr="00DB69D5" w:rsidRDefault="00596888" w:rsidP="008757FF">
            <w:pPr>
              <w:jc w:val="both"/>
              <w:rPr>
                <w:rFonts w:cs="Arial"/>
              </w:rPr>
            </w:pPr>
          </w:p>
        </w:tc>
        <w:tc>
          <w:tcPr>
            <w:tcW w:w="1446" w:type="dxa"/>
            <w:tcBorders>
              <w:top w:val="nil"/>
              <w:left w:val="nil"/>
              <w:bottom w:val="nil"/>
              <w:right w:val="single" w:sz="4" w:space="0" w:color="auto"/>
            </w:tcBorders>
          </w:tcPr>
          <w:p w:rsidR="00596888" w:rsidRPr="00DB69D5" w:rsidRDefault="00596888" w:rsidP="008757FF">
            <w:pPr>
              <w:jc w:val="right"/>
              <w:rPr>
                <w:rFonts w:cs="Arial"/>
              </w:rPr>
            </w:pPr>
          </w:p>
        </w:tc>
        <w:tc>
          <w:tcPr>
            <w:tcW w:w="2903" w:type="dxa"/>
            <w:gridSpan w:val="2"/>
            <w:tcBorders>
              <w:top w:val="nil"/>
              <w:left w:val="single" w:sz="4" w:space="0" w:color="auto"/>
              <w:bottom w:val="nil"/>
              <w:right w:val="nil"/>
            </w:tcBorders>
          </w:tcPr>
          <w:p w:rsidR="00596888" w:rsidRPr="00DB69D5" w:rsidRDefault="00596888" w:rsidP="008757FF">
            <w:pPr>
              <w:jc w:val="both"/>
              <w:rPr>
                <w:rFonts w:cs="Arial"/>
              </w:rPr>
            </w:pPr>
            <w:r>
              <w:rPr>
                <w:rFonts w:cs="Arial"/>
              </w:rPr>
              <w:t>Sonderposten</w:t>
            </w:r>
          </w:p>
        </w:tc>
        <w:tc>
          <w:tcPr>
            <w:tcW w:w="1454" w:type="dxa"/>
            <w:tcBorders>
              <w:top w:val="nil"/>
              <w:left w:val="nil"/>
              <w:bottom w:val="nil"/>
            </w:tcBorders>
          </w:tcPr>
          <w:p w:rsidR="00596888" w:rsidRPr="00DB69D5" w:rsidRDefault="00596888" w:rsidP="008757FF">
            <w:pPr>
              <w:jc w:val="right"/>
              <w:rPr>
                <w:rFonts w:cs="Arial"/>
              </w:rPr>
            </w:pPr>
            <w:r>
              <w:rPr>
                <w:rFonts w:cs="Arial"/>
              </w:rPr>
              <w:t>64 T€</w:t>
            </w:r>
          </w:p>
        </w:tc>
      </w:tr>
      <w:tr w:rsidR="00596888" w:rsidTr="008757FF">
        <w:tc>
          <w:tcPr>
            <w:tcW w:w="2331" w:type="dxa"/>
            <w:gridSpan w:val="2"/>
            <w:tcBorders>
              <w:top w:val="nil"/>
              <w:left w:val="single" w:sz="4" w:space="0" w:color="auto"/>
              <w:bottom w:val="single" w:sz="4" w:space="0" w:color="auto"/>
              <w:right w:val="nil"/>
            </w:tcBorders>
          </w:tcPr>
          <w:p w:rsidR="00596888" w:rsidRDefault="00596888" w:rsidP="008757FF">
            <w:pPr>
              <w:jc w:val="both"/>
              <w:rPr>
                <w:rFonts w:cs="Arial"/>
              </w:rPr>
            </w:pPr>
            <w:r>
              <w:rPr>
                <w:rFonts w:cs="Arial"/>
              </w:rPr>
              <w:t>Übrige Aktiva</w:t>
            </w:r>
          </w:p>
        </w:tc>
        <w:tc>
          <w:tcPr>
            <w:tcW w:w="571" w:type="dxa"/>
            <w:tcBorders>
              <w:top w:val="nil"/>
              <w:left w:val="nil"/>
              <w:bottom w:val="single" w:sz="4" w:space="0" w:color="auto"/>
              <w:right w:val="nil"/>
            </w:tcBorders>
          </w:tcPr>
          <w:p w:rsidR="00596888" w:rsidRPr="00DB69D5" w:rsidRDefault="00596888" w:rsidP="008757FF">
            <w:pPr>
              <w:jc w:val="both"/>
              <w:rPr>
                <w:rFonts w:cs="Arial"/>
              </w:rPr>
            </w:pPr>
          </w:p>
        </w:tc>
        <w:tc>
          <w:tcPr>
            <w:tcW w:w="1446" w:type="dxa"/>
            <w:tcBorders>
              <w:top w:val="nil"/>
              <w:left w:val="nil"/>
              <w:bottom w:val="single" w:sz="4" w:space="0" w:color="auto"/>
              <w:right w:val="single" w:sz="4" w:space="0" w:color="auto"/>
            </w:tcBorders>
          </w:tcPr>
          <w:p w:rsidR="00596888" w:rsidRPr="00DB69D5" w:rsidRDefault="00596888" w:rsidP="008757FF">
            <w:pPr>
              <w:jc w:val="right"/>
              <w:rPr>
                <w:rFonts w:cs="Arial"/>
              </w:rPr>
            </w:pPr>
            <w:r>
              <w:rPr>
                <w:rFonts w:cs="Arial"/>
              </w:rPr>
              <w:t>0 T€</w:t>
            </w:r>
          </w:p>
        </w:tc>
        <w:tc>
          <w:tcPr>
            <w:tcW w:w="2903" w:type="dxa"/>
            <w:gridSpan w:val="2"/>
            <w:tcBorders>
              <w:top w:val="nil"/>
              <w:left w:val="single" w:sz="4" w:space="0" w:color="auto"/>
              <w:right w:val="nil"/>
            </w:tcBorders>
          </w:tcPr>
          <w:p w:rsidR="00596888" w:rsidRPr="00DB69D5" w:rsidRDefault="00596888" w:rsidP="008757FF">
            <w:pPr>
              <w:jc w:val="both"/>
              <w:rPr>
                <w:rFonts w:cs="Arial"/>
              </w:rPr>
            </w:pPr>
            <w:r>
              <w:rPr>
                <w:rFonts w:cs="Arial"/>
              </w:rPr>
              <w:t>Übrige Passiva</w:t>
            </w:r>
          </w:p>
        </w:tc>
        <w:tc>
          <w:tcPr>
            <w:tcW w:w="1454" w:type="dxa"/>
            <w:tcBorders>
              <w:top w:val="nil"/>
              <w:left w:val="nil"/>
            </w:tcBorders>
          </w:tcPr>
          <w:p w:rsidR="00596888" w:rsidRPr="00DB69D5" w:rsidRDefault="00596888" w:rsidP="008757FF">
            <w:pPr>
              <w:jc w:val="right"/>
              <w:rPr>
                <w:rFonts w:cs="Arial"/>
              </w:rPr>
            </w:pPr>
            <w:r>
              <w:rPr>
                <w:rFonts w:cs="Arial"/>
              </w:rPr>
              <w:t>0 T€</w:t>
            </w:r>
          </w:p>
        </w:tc>
      </w:tr>
      <w:tr w:rsidR="00596888" w:rsidTr="008757FF">
        <w:tc>
          <w:tcPr>
            <w:tcW w:w="2331" w:type="dxa"/>
            <w:gridSpan w:val="2"/>
            <w:tcBorders>
              <w:top w:val="nil"/>
              <w:left w:val="single" w:sz="4" w:space="0" w:color="auto"/>
              <w:bottom w:val="single" w:sz="4" w:space="0" w:color="auto"/>
              <w:right w:val="nil"/>
            </w:tcBorders>
          </w:tcPr>
          <w:p w:rsidR="00596888" w:rsidRPr="00DB69D5" w:rsidRDefault="00596888" w:rsidP="008757FF">
            <w:pPr>
              <w:jc w:val="right"/>
              <w:rPr>
                <w:rFonts w:cs="Arial"/>
              </w:rPr>
            </w:pPr>
          </w:p>
        </w:tc>
        <w:tc>
          <w:tcPr>
            <w:tcW w:w="571" w:type="dxa"/>
            <w:tcBorders>
              <w:top w:val="nil"/>
              <w:left w:val="nil"/>
              <w:bottom w:val="single" w:sz="4" w:space="0" w:color="auto"/>
              <w:right w:val="nil"/>
            </w:tcBorders>
          </w:tcPr>
          <w:p w:rsidR="00596888" w:rsidRPr="00DB69D5" w:rsidRDefault="00596888" w:rsidP="008757FF">
            <w:pPr>
              <w:jc w:val="right"/>
              <w:rPr>
                <w:rFonts w:cs="Arial"/>
              </w:rPr>
            </w:pPr>
          </w:p>
        </w:tc>
        <w:tc>
          <w:tcPr>
            <w:tcW w:w="1446" w:type="dxa"/>
            <w:tcBorders>
              <w:top w:val="nil"/>
              <w:left w:val="nil"/>
              <w:bottom w:val="single" w:sz="4" w:space="0" w:color="auto"/>
              <w:right w:val="single" w:sz="4" w:space="0" w:color="auto"/>
            </w:tcBorders>
          </w:tcPr>
          <w:p w:rsidR="00596888" w:rsidRPr="00DB69D5" w:rsidRDefault="00596888" w:rsidP="008757FF">
            <w:pPr>
              <w:jc w:val="right"/>
              <w:rPr>
                <w:rFonts w:cs="Arial"/>
              </w:rPr>
            </w:pPr>
            <w:r>
              <w:rPr>
                <w:rFonts w:cs="Arial"/>
              </w:rPr>
              <w:t>280 T€</w:t>
            </w:r>
          </w:p>
        </w:tc>
        <w:tc>
          <w:tcPr>
            <w:tcW w:w="681" w:type="dxa"/>
            <w:tcBorders>
              <w:top w:val="nil"/>
              <w:left w:val="single" w:sz="4" w:space="0" w:color="auto"/>
              <w:right w:val="nil"/>
            </w:tcBorders>
          </w:tcPr>
          <w:p w:rsidR="00596888" w:rsidRPr="00DB69D5" w:rsidRDefault="00596888" w:rsidP="008757FF">
            <w:pPr>
              <w:jc w:val="right"/>
              <w:rPr>
                <w:rFonts w:cs="Arial"/>
              </w:rPr>
            </w:pPr>
          </w:p>
        </w:tc>
        <w:tc>
          <w:tcPr>
            <w:tcW w:w="2222" w:type="dxa"/>
            <w:tcBorders>
              <w:top w:val="nil"/>
              <w:left w:val="nil"/>
              <w:right w:val="nil"/>
            </w:tcBorders>
          </w:tcPr>
          <w:p w:rsidR="00596888" w:rsidRPr="00DB69D5" w:rsidRDefault="00596888" w:rsidP="008757FF">
            <w:pPr>
              <w:jc w:val="right"/>
              <w:rPr>
                <w:rFonts w:cs="Arial"/>
              </w:rPr>
            </w:pPr>
          </w:p>
        </w:tc>
        <w:tc>
          <w:tcPr>
            <w:tcW w:w="1454" w:type="dxa"/>
            <w:tcBorders>
              <w:top w:val="nil"/>
              <w:left w:val="nil"/>
            </w:tcBorders>
          </w:tcPr>
          <w:p w:rsidR="00596888" w:rsidRPr="00DB69D5" w:rsidRDefault="00596888" w:rsidP="008757FF">
            <w:pPr>
              <w:jc w:val="right"/>
              <w:rPr>
                <w:rFonts w:cs="Arial"/>
              </w:rPr>
            </w:pPr>
            <w:r>
              <w:rPr>
                <w:rFonts w:cs="Arial"/>
              </w:rPr>
              <w:t>280 T€</w:t>
            </w:r>
          </w:p>
        </w:tc>
      </w:tr>
    </w:tbl>
    <w:p w:rsidR="007A6B1C" w:rsidRDefault="007A6B1C" w:rsidP="00E20C5A">
      <w:pPr>
        <w:ind w:left="357"/>
        <w:jc w:val="both"/>
        <w:rPr>
          <w:rFonts w:cs="Arial"/>
        </w:rPr>
      </w:pPr>
    </w:p>
    <w:tbl>
      <w:tblPr>
        <w:tblStyle w:val="Tabellenraster"/>
        <w:tblW w:w="0" w:type="auto"/>
        <w:tblInd w:w="357" w:type="dxa"/>
        <w:tblLook w:val="04A0" w:firstRow="1" w:lastRow="0" w:firstColumn="1" w:lastColumn="0" w:noHBand="0" w:noVBand="1"/>
      </w:tblPr>
      <w:tblGrid>
        <w:gridCol w:w="1456"/>
        <w:gridCol w:w="875"/>
        <w:gridCol w:w="571"/>
        <w:gridCol w:w="1446"/>
        <w:gridCol w:w="681"/>
        <w:gridCol w:w="2222"/>
        <w:gridCol w:w="1454"/>
      </w:tblGrid>
      <w:tr w:rsidR="00596888" w:rsidRPr="000263AC" w:rsidTr="008757FF">
        <w:tc>
          <w:tcPr>
            <w:tcW w:w="1456" w:type="dxa"/>
            <w:tcBorders>
              <w:top w:val="single" w:sz="4" w:space="0" w:color="auto"/>
              <w:left w:val="single" w:sz="4" w:space="0" w:color="auto"/>
              <w:right w:val="nil"/>
            </w:tcBorders>
          </w:tcPr>
          <w:p w:rsidR="00596888" w:rsidRPr="000263AC" w:rsidRDefault="00596888" w:rsidP="008757FF">
            <w:pPr>
              <w:jc w:val="both"/>
              <w:rPr>
                <w:rFonts w:cs="Arial"/>
                <w:b/>
              </w:rPr>
            </w:pPr>
            <w:r w:rsidRPr="000263AC">
              <w:rPr>
                <w:rFonts w:cs="Arial"/>
                <w:b/>
              </w:rPr>
              <w:t>A</w:t>
            </w:r>
          </w:p>
        </w:tc>
        <w:tc>
          <w:tcPr>
            <w:tcW w:w="5795" w:type="dxa"/>
            <w:gridSpan w:val="5"/>
            <w:tcBorders>
              <w:top w:val="single" w:sz="4" w:space="0" w:color="auto"/>
              <w:left w:val="nil"/>
              <w:right w:val="nil"/>
            </w:tcBorders>
          </w:tcPr>
          <w:p w:rsidR="00596888" w:rsidRPr="000263AC" w:rsidRDefault="00596888" w:rsidP="008757FF">
            <w:pPr>
              <w:jc w:val="center"/>
              <w:rPr>
                <w:rFonts w:cs="Arial"/>
                <w:b/>
              </w:rPr>
            </w:pPr>
            <w:r>
              <w:rPr>
                <w:rFonts w:cs="Arial"/>
                <w:b/>
              </w:rPr>
              <w:t xml:space="preserve">Bilanz nach </w:t>
            </w:r>
            <w:r w:rsidRPr="000263AC">
              <w:rPr>
                <w:rFonts w:cs="Arial"/>
                <w:b/>
              </w:rPr>
              <w:t>Bewertung</w:t>
            </w:r>
            <w:r>
              <w:rPr>
                <w:rFonts w:cs="Arial"/>
                <w:b/>
              </w:rPr>
              <w:t xml:space="preserve"> (3. Jahr)</w:t>
            </w:r>
          </w:p>
        </w:tc>
        <w:tc>
          <w:tcPr>
            <w:tcW w:w="1454" w:type="dxa"/>
            <w:tcBorders>
              <w:left w:val="nil"/>
            </w:tcBorders>
          </w:tcPr>
          <w:p w:rsidR="00596888" w:rsidRPr="000263AC" w:rsidRDefault="00596888" w:rsidP="008757FF">
            <w:pPr>
              <w:jc w:val="right"/>
              <w:rPr>
                <w:rFonts w:cs="Arial"/>
                <w:b/>
              </w:rPr>
            </w:pPr>
            <w:r w:rsidRPr="000263AC">
              <w:rPr>
                <w:rFonts w:cs="Arial"/>
                <w:b/>
              </w:rPr>
              <w:t>P</w:t>
            </w:r>
          </w:p>
        </w:tc>
      </w:tr>
      <w:tr w:rsidR="00596888" w:rsidTr="008757FF">
        <w:tc>
          <w:tcPr>
            <w:tcW w:w="2331" w:type="dxa"/>
            <w:gridSpan w:val="2"/>
            <w:tcBorders>
              <w:left w:val="single" w:sz="4" w:space="0" w:color="auto"/>
              <w:bottom w:val="nil"/>
              <w:right w:val="nil"/>
            </w:tcBorders>
          </w:tcPr>
          <w:p w:rsidR="00596888" w:rsidRPr="00DB69D5" w:rsidRDefault="00596888" w:rsidP="008757FF">
            <w:pPr>
              <w:jc w:val="both"/>
              <w:rPr>
                <w:rFonts w:cs="Arial"/>
              </w:rPr>
            </w:pPr>
          </w:p>
        </w:tc>
        <w:tc>
          <w:tcPr>
            <w:tcW w:w="571" w:type="dxa"/>
            <w:tcBorders>
              <w:left w:val="nil"/>
              <w:bottom w:val="nil"/>
              <w:right w:val="nil"/>
            </w:tcBorders>
          </w:tcPr>
          <w:p w:rsidR="00596888" w:rsidRPr="00DB69D5" w:rsidRDefault="00596888" w:rsidP="008757FF">
            <w:pPr>
              <w:jc w:val="both"/>
              <w:rPr>
                <w:rFonts w:cs="Arial"/>
              </w:rPr>
            </w:pPr>
          </w:p>
        </w:tc>
        <w:tc>
          <w:tcPr>
            <w:tcW w:w="1446" w:type="dxa"/>
            <w:tcBorders>
              <w:left w:val="nil"/>
              <w:bottom w:val="nil"/>
              <w:right w:val="single" w:sz="4" w:space="0" w:color="auto"/>
            </w:tcBorders>
          </w:tcPr>
          <w:p w:rsidR="00596888" w:rsidRPr="00DB69D5" w:rsidRDefault="00596888" w:rsidP="008757FF">
            <w:pPr>
              <w:jc w:val="both"/>
              <w:rPr>
                <w:rFonts w:cs="Arial"/>
              </w:rPr>
            </w:pPr>
          </w:p>
        </w:tc>
        <w:tc>
          <w:tcPr>
            <w:tcW w:w="681" w:type="dxa"/>
            <w:tcBorders>
              <w:top w:val="nil"/>
              <w:left w:val="single" w:sz="4" w:space="0" w:color="auto"/>
              <w:bottom w:val="nil"/>
              <w:right w:val="nil"/>
            </w:tcBorders>
          </w:tcPr>
          <w:p w:rsidR="00596888" w:rsidRPr="00DB69D5" w:rsidRDefault="00596888" w:rsidP="008757FF">
            <w:pPr>
              <w:jc w:val="both"/>
              <w:rPr>
                <w:rFonts w:cs="Arial"/>
              </w:rPr>
            </w:pPr>
          </w:p>
        </w:tc>
        <w:tc>
          <w:tcPr>
            <w:tcW w:w="2222" w:type="dxa"/>
            <w:tcBorders>
              <w:top w:val="nil"/>
              <w:left w:val="nil"/>
              <w:bottom w:val="nil"/>
              <w:right w:val="nil"/>
            </w:tcBorders>
          </w:tcPr>
          <w:p w:rsidR="00596888" w:rsidRPr="00DB69D5" w:rsidRDefault="00596888" w:rsidP="008757FF">
            <w:pPr>
              <w:jc w:val="both"/>
              <w:rPr>
                <w:rFonts w:cs="Arial"/>
              </w:rPr>
            </w:pPr>
          </w:p>
        </w:tc>
        <w:tc>
          <w:tcPr>
            <w:tcW w:w="1454" w:type="dxa"/>
            <w:tcBorders>
              <w:top w:val="nil"/>
              <w:left w:val="nil"/>
              <w:bottom w:val="nil"/>
            </w:tcBorders>
          </w:tcPr>
          <w:p w:rsidR="00596888" w:rsidRPr="00DB69D5" w:rsidRDefault="00596888" w:rsidP="008757FF">
            <w:pPr>
              <w:jc w:val="both"/>
              <w:rPr>
                <w:rFonts w:cs="Arial"/>
              </w:rPr>
            </w:pPr>
          </w:p>
        </w:tc>
      </w:tr>
      <w:tr w:rsidR="00596888" w:rsidTr="008757FF">
        <w:tc>
          <w:tcPr>
            <w:tcW w:w="2331" w:type="dxa"/>
            <w:gridSpan w:val="2"/>
            <w:tcBorders>
              <w:top w:val="nil"/>
              <w:left w:val="single" w:sz="4" w:space="0" w:color="auto"/>
              <w:bottom w:val="nil"/>
              <w:right w:val="nil"/>
            </w:tcBorders>
          </w:tcPr>
          <w:p w:rsidR="00596888" w:rsidRPr="00DB69D5" w:rsidRDefault="00596888" w:rsidP="008757FF">
            <w:pPr>
              <w:jc w:val="both"/>
              <w:rPr>
                <w:rFonts w:cs="Arial"/>
              </w:rPr>
            </w:pPr>
            <w:r>
              <w:rPr>
                <w:rFonts w:cs="Arial"/>
              </w:rPr>
              <w:t>Anlagevermögen</w:t>
            </w:r>
          </w:p>
        </w:tc>
        <w:tc>
          <w:tcPr>
            <w:tcW w:w="571" w:type="dxa"/>
            <w:tcBorders>
              <w:top w:val="nil"/>
              <w:left w:val="nil"/>
              <w:bottom w:val="nil"/>
              <w:right w:val="nil"/>
            </w:tcBorders>
          </w:tcPr>
          <w:p w:rsidR="00596888" w:rsidRPr="00DB69D5" w:rsidRDefault="00596888" w:rsidP="008757FF">
            <w:pPr>
              <w:jc w:val="both"/>
              <w:rPr>
                <w:rFonts w:cs="Arial"/>
              </w:rPr>
            </w:pPr>
          </w:p>
        </w:tc>
        <w:tc>
          <w:tcPr>
            <w:tcW w:w="1446" w:type="dxa"/>
            <w:tcBorders>
              <w:top w:val="nil"/>
              <w:left w:val="nil"/>
              <w:bottom w:val="nil"/>
              <w:right w:val="single" w:sz="4" w:space="0" w:color="auto"/>
            </w:tcBorders>
          </w:tcPr>
          <w:p w:rsidR="00596888" w:rsidRPr="00DB69D5" w:rsidRDefault="00596888" w:rsidP="008757FF">
            <w:pPr>
              <w:jc w:val="right"/>
              <w:rPr>
                <w:rFonts w:cs="Arial"/>
              </w:rPr>
            </w:pPr>
            <w:r>
              <w:rPr>
                <w:rFonts w:cs="Arial"/>
              </w:rPr>
              <w:t>140 T€</w:t>
            </w:r>
          </w:p>
        </w:tc>
        <w:tc>
          <w:tcPr>
            <w:tcW w:w="681" w:type="dxa"/>
            <w:tcBorders>
              <w:top w:val="nil"/>
              <w:left w:val="single" w:sz="4" w:space="0" w:color="auto"/>
              <w:bottom w:val="nil"/>
              <w:right w:val="nil"/>
            </w:tcBorders>
          </w:tcPr>
          <w:p w:rsidR="00596888" w:rsidRPr="00DB69D5" w:rsidRDefault="00596888" w:rsidP="008757FF">
            <w:pPr>
              <w:jc w:val="both"/>
              <w:rPr>
                <w:rFonts w:cs="Arial"/>
              </w:rPr>
            </w:pPr>
            <w:r>
              <w:rPr>
                <w:rFonts w:cs="Arial"/>
              </w:rPr>
              <w:t>EK</w:t>
            </w:r>
          </w:p>
        </w:tc>
        <w:tc>
          <w:tcPr>
            <w:tcW w:w="2222" w:type="dxa"/>
            <w:tcBorders>
              <w:top w:val="nil"/>
              <w:left w:val="nil"/>
              <w:bottom w:val="nil"/>
              <w:right w:val="nil"/>
            </w:tcBorders>
          </w:tcPr>
          <w:p w:rsidR="00596888" w:rsidRPr="00DB69D5" w:rsidRDefault="00596888" w:rsidP="008757FF">
            <w:pPr>
              <w:jc w:val="both"/>
              <w:rPr>
                <w:rFonts w:cs="Arial"/>
              </w:rPr>
            </w:pPr>
            <w:r>
              <w:rPr>
                <w:rFonts w:cs="Arial"/>
              </w:rPr>
              <w:t>Kapitalstock</w:t>
            </w:r>
          </w:p>
        </w:tc>
        <w:tc>
          <w:tcPr>
            <w:tcW w:w="1454" w:type="dxa"/>
            <w:tcBorders>
              <w:top w:val="nil"/>
              <w:left w:val="nil"/>
              <w:bottom w:val="nil"/>
            </w:tcBorders>
          </w:tcPr>
          <w:p w:rsidR="00596888" w:rsidRPr="00DB69D5" w:rsidRDefault="00596888" w:rsidP="008757FF">
            <w:pPr>
              <w:jc w:val="right"/>
              <w:rPr>
                <w:rFonts w:cs="Arial"/>
              </w:rPr>
            </w:pPr>
            <w:r>
              <w:rPr>
                <w:rFonts w:cs="Arial"/>
              </w:rPr>
              <w:t>220 T€</w:t>
            </w:r>
          </w:p>
        </w:tc>
      </w:tr>
      <w:tr w:rsidR="00596888" w:rsidTr="008757FF">
        <w:tc>
          <w:tcPr>
            <w:tcW w:w="2331" w:type="dxa"/>
            <w:gridSpan w:val="2"/>
            <w:tcBorders>
              <w:top w:val="nil"/>
              <w:left w:val="single" w:sz="4" w:space="0" w:color="auto"/>
              <w:bottom w:val="nil"/>
              <w:right w:val="nil"/>
            </w:tcBorders>
          </w:tcPr>
          <w:p w:rsidR="00596888" w:rsidRPr="00DB69D5" w:rsidRDefault="00596888" w:rsidP="008757FF">
            <w:pPr>
              <w:jc w:val="both"/>
              <w:rPr>
                <w:rFonts w:cs="Arial"/>
              </w:rPr>
            </w:pPr>
          </w:p>
        </w:tc>
        <w:tc>
          <w:tcPr>
            <w:tcW w:w="571" w:type="dxa"/>
            <w:tcBorders>
              <w:top w:val="nil"/>
              <w:left w:val="nil"/>
              <w:bottom w:val="nil"/>
              <w:right w:val="nil"/>
            </w:tcBorders>
          </w:tcPr>
          <w:p w:rsidR="00596888" w:rsidRPr="00DB69D5" w:rsidRDefault="00596888" w:rsidP="008757FF">
            <w:pPr>
              <w:jc w:val="both"/>
              <w:rPr>
                <w:rFonts w:cs="Arial"/>
              </w:rPr>
            </w:pPr>
          </w:p>
        </w:tc>
        <w:tc>
          <w:tcPr>
            <w:tcW w:w="1446" w:type="dxa"/>
            <w:tcBorders>
              <w:top w:val="nil"/>
              <w:left w:val="nil"/>
              <w:bottom w:val="nil"/>
              <w:right w:val="single" w:sz="4" w:space="0" w:color="auto"/>
            </w:tcBorders>
          </w:tcPr>
          <w:p w:rsidR="00596888" w:rsidRPr="00DB69D5" w:rsidRDefault="00596888" w:rsidP="008757FF">
            <w:pPr>
              <w:jc w:val="right"/>
              <w:rPr>
                <w:rFonts w:cs="Arial"/>
              </w:rPr>
            </w:pPr>
          </w:p>
        </w:tc>
        <w:tc>
          <w:tcPr>
            <w:tcW w:w="681" w:type="dxa"/>
            <w:tcBorders>
              <w:top w:val="nil"/>
              <w:left w:val="single" w:sz="4" w:space="0" w:color="auto"/>
              <w:bottom w:val="nil"/>
              <w:right w:val="nil"/>
            </w:tcBorders>
          </w:tcPr>
          <w:p w:rsidR="00596888" w:rsidRPr="00DB69D5" w:rsidRDefault="00596888" w:rsidP="008757FF">
            <w:pPr>
              <w:jc w:val="both"/>
              <w:rPr>
                <w:rFonts w:cs="Arial"/>
              </w:rPr>
            </w:pPr>
          </w:p>
        </w:tc>
        <w:tc>
          <w:tcPr>
            <w:tcW w:w="2222" w:type="dxa"/>
            <w:tcBorders>
              <w:top w:val="nil"/>
              <w:left w:val="nil"/>
              <w:bottom w:val="nil"/>
              <w:right w:val="nil"/>
            </w:tcBorders>
          </w:tcPr>
          <w:p w:rsidR="00596888" w:rsidRPr="00DB69D5" w:rsidRDefault="00596888" w:rsidP="008757FF">
            <w:pPr>
              <w:jc w:val="both"/>
              <w:rPr>
                <w:rFonts w:cs="Arial"/>
              </w:rPr>
            </w:pPr>
            <w:r>
              <w:rPr>
                <w:rFonts w:cs="Arial"/>
              </w:rPr>
              <w:t>Rücklagen</w:t>
            </w:r>
          </w:p>
        </w:tc>
        <w:tc>
          <w:tcPr>
            <w:tcW w:w="1454" w:type="dxa"/>
            <w:tcBorders>
              <w:top w:val="nil"/>
              <w:left w:val="nil"/>
              <w:bottom w:val="nil"/>
            </w:tcBorders>
          </w:tcPr>
          <w:p w:rsidR="00596888" w:rsidRPr="00DB69D5" w:rsidRDefault="00596888" w:rsidP="008757FF">
            <w:pPr>
              <w:jc w:val="right"/>
              <w:rPr>
                <w:rFonts w:cs="Arial"/>
              </w:rPr>
            </w:pPr>
            <w:r>
              <w:rPr>
                <w:rFonts w:cs="Arial"/>
              </w:rPr>
              <w:t>0 T€</w:t>
            </w:r>
          </w:p>
        </w:tc>
      </w:tr>
      <w:tr w:rsidR="00596888" w:rsidTr="008757FF">
        <w:tc>
          <w:tcPr>
            <w:tcW w:w="2331" w:type="dxa"/>
            <w:gridSpan w:val="2"/>
            <w:tcBorders>
              <w:top w:val="nil"/>
              <w:left w:val="single" w:sz="4" w:space="0" w:color="auto"/>
              <w:bottom w:val="nil"/>
              <w:right w:val="nil"/>
            </w:tcBorders>
          </w:tcPr>
          <w:p w:rsidR="00596888" w:rsidRPr="00DB69D5" w:rsidRDefault="00596888" w:rsidP="008757FF">
            <w:pPr>
              <w:jc w:val="both"/>
              <w:rPr>
                <w:rFonts w:cs="Arial"/>
              </w:rPr>
            </w:pPr>
            <w:r>
              <w:rPr>
                <w:rFonts w:cs="Arial"/>
              </w:rPr>
              <w:t>Umlaufvermögen</w:t>
            </w:r>
          </w:p>
        </w:tc>
        <w:tc>
          <w:tcPr>
            <w:tcW w:w="571" w:type="dxa"/>
            <w:tcBorders>
              <w:top w:val="nil"/>
              <w:left w:val="nil"/>
              <w:bottom w:val="nil"/>
              <w:right w:val="nil"/>
            </w:tcBorders>
          </w:tcPr>
          <w:p w:rsidR="00596888" w:rsidRPr="00DB69D5" w:rsidRDefault="00596888" w:rsidP="008757FF">
            <w:pPr>
              <w:jc w:val="both"/>
              <w:rPr>
                <w:rFonts w:cs="Arial"/>
              </w:rPr>
            </w:pPr>
          </w:p>
        </w:tc>
        <w:tc>
          <w:tcPr>
            <w:tcW w:w="1446" w:type="dxa"/>
            <w:tcBorders>
              <w:top w:val="nil"/>
              <w:left w:val="nil"/>
              <w:bottom w:val="nil"/>
              <w:right w:val="single" w:sz="4" w:space="0" w:color="auto"/>
            </w:tcBorders>
          </w:tcPr>
          <w:p w:rsidR="00596888" w:rsidRPr="00DB69D5" w:rsidRDefault="00596888" w:rsidP="008757FF">
            <w:pPr>
              <w:jc w:val="right"/>
              <w:rPr>
                <w:rFonts w:cs="Arial"/>
              </w:rPr>
            </w:pPr>
            <w:r>
              <w:rPr>
                <w:rFonts w:cs="Arial"/>
              </w:rPr>
              <w:t>120 T€</w:t>
            </w:r>
          </w:p>
        </w:tc>
        <w:tc>
          <w:tcPr>
            <w:tcW w:w="681" w:type="dxa"/>
            <w:tcBorders>
              <w:top w:val="nil"/>
              <w:left w:val="single" w:sz="4" w:space="0" w:color="auto"/>
              <w:bottom w:val="nil"/>
              <w:right w:val="nil"/>
            </w:tcBorders>
          </w:tcPr>
          <w:p w:rsidR="00596888" w:rsidRPr="00DB69D5" w:rsidRDefault="00596888" w:rsidP="008757FF">
            <w:pPr>
              <w:jc w:val="both"/>
              <w:rPr>
                <w:rFonts w:cs="Arial"/>
              </w:rPr>
            </w:pPr>
          </w:p>
        </w:tc>
        <w:tc>
          <w:tcPr>
            <w:tcW w:w="2222" w:type="dxa"/>
            <w:tcBorders>
              <w:top w:val="nil"/>
              <w:left w:val="nil"/>
              <w:bottom w:val="nil"/>
              <w:right w:val="nil"/>
            </w:tcBorders>
          </w:tcPr>
          <w:p w:rsidR="00596888" w:rsidRPr="00DB69D5" w:rsidRDefault="00596888" w:rsidP="008757FF">
            <w:pPr>
              <w:jc w:val="both"/>
              <w:rPr>
                <w:rFonts w:cs="Arial"/>
              </w:rPr>
            </w:pPr>
            <w:r>
              <w:rPr>
                <w:rFonts w:cs="Arial"/>
              </w:rPr>
              <w:t>Ergebnisvortrag</w:t>
            </w:r>
          </w:p>
        </w:tc>
        <w:tc>
          <w:tcPr>
            <w:tcW w:w="1454" w:type="dxa"/>
            <w:tcBorders>
              <w:top w:val="nil"/>
              <w:left w:val="nil"/>
              <w:bottom w:val="nil"/>
            </w:tcBorders>
          </w:tcPr>
          <w:p w:rsidR="00596888" w:rsidRPr="00DB69D5" w:rsidRDefault="00596888" w:rsidP="008757FF">
            <w:pPr>
              <w:jc w:val="right"/>
              <w:rPr>
                <w:rFonts w:cs="Arial"/>
              </w:rPr>
            </w:pPr>
            <w:r>
              <w:rPr>
                <w:rFonts w:cs="Arial"/>
              </w:rPr>
              <w:t>-16 T€</w:t>
            </w:r>
          </w:p>
        </w:tc>
      </w:tr>
      <w:tr w:rsidR="00596888" w:rsidTr="008757FF">
        <w:tc>
          <w:tcPr>
            <w:tcW w:w="2331" w:type="dxa"/>
            <w:gridSpan w:val="2"/>
            <w:tcBorders>
              <w:top w:val="nil"/>
              <w:left w:val="single" w:sz="4" w:space="0" w:color="auto"/>
              <w:bottom w:val="nil"/>
              <w:right w:val="nil"/>
            </w:tcBorders>
          </w:tcPr>
          <w:p w:rsidR="00596888" w:rsidRPr="00DB69D5" w:rsidRDefault="00596888" w:rsidP="008757FF">
            <w:pPr>
              <w:jc w:val="both"/>
              <w:rPr>
                <w:rFonts w:cs="Arial"/>
              </w:rPr>
            </w:pPr>
          </w:p>
        </w:tc>
        <w:tc>
          <w:tcPr>
            <w:tcW w:w="571" w:type="dxa"/>
            <w:tcBorders>
              <w:top w:val="nil"/>
              <w:left w:val="nil"/>
              <w:bottom w:val="nil"/>
              <w:right w:val="nil"/>
            </w:tcBorders>
          </w:tcPr>
          <w:p w:rsidR="00596888" w:rsidRPr="00DB69D5" w:rsidRDefault="00596888" w:rsidP="008757FF">
            <w:pPr>
              <w:jc w:val="both"/>
              <w:rPr>
                <w:rFonts w:cs="Arial"/>
              </w:rPr>
            </w:pPr>
          </w:p>
        </w:tc>
        <w:tc>
          <w:tcPr>
            <w:tcW w:w="1446" w:type="dxa"/>
            <w:tcBorders>
              <w:top w:val="nil"/>
              <w:left w:val="nil"/>
              <w:bottom w:val="nil"/>
              <w:right w:val="single" w:sz="4" w:space="0" w:color="auto"/>
            </w:tcBorders>
          </w:tcPr>
          <w:p w:rsidR="00596888" w:rsidRPr="00DB69D5" w:rsidRDefault="00596888" w:rsidP="008757FF">
            <w:pPr>
              <w:jc w:val="right"/>
              <w:rPr>
                <w:rFonts w:cs="Arial"/>
              </w:rPr>
            </w:pPr>
          </w:p>
        </w:tc>
        <w:tc>
          <w:tcPr>
            <w:tcW w:w="2903" w:type="dxa"/>
            <w:gridSpan w:val="2"/>
            <w:tcBorders>
              <w:top w:val="nil"/>
              <w:left w:val="single" w:sz="4" w:space="0" w:color="auto"/>
              <w:bottom w:val="nil"/>
              <w:right w:val="nil"/>
            </w:tcBorders>
          </w:tcPr>
          <w:p w:rsidR="00596888" w:rsidRPr="00DB69D5" w:rsidRDefault="00596888" w:rsidP="008757FF">
            <w:pPr>
              <w:jc w:val="both"/>
              <w:rPr>
                <w:rFonts w:cs="Arial"/>
              </w:rPr>
            </w:pPr>
            <w:r>
              <w:rPr>
                <w:rFonts w:cs="Arial"/>
              </w:rPr>
              <w:t>Sonderposten</w:t>
            </w:r>
          </w:p>
        </w:tc>
        <w:tc>
          <w:tcPr>
            <w:tcW w:w="1454" w:type="dxa"/>
            <w:tcBorders>
              <w:top w:val="nil"/>
              <w:left w:val="nil"/>
              <w:bottom w:val="nil"/>
            </w:tcBorders>
          </w:tcPr>
          <w:p w:rsidR="00596888" w:rsidRPr="00DB69D5" w:rsidRDefault="00596888" w:rsidP="008757FF">
            <w:pPr>
              <w:jc w:val="right"/>
              <w:rPr>
                <w:rFonts w:cs="Arial"/>
              </w:rPr>
            </w:pPr>
            <w:r>
              <w:rPr>
                <w:rFonts w:cs="Arial"/>
              </w:rPr>
              <w:t>56 T€</w:t>
            </w:r>
          </w:p>
        </w:tc>
      </w:tr>
      <w:tr w:rsidR="00596888" w:rsidTr="008757FF">
        <w:tc>
          <w:tcPr>
            <w:tcW w:w="2331" w:type="dxa"/>
            <w:gridSpan w:val="2"/>
            <w:tcBorders>
              <w:top w:val="nil"/>
              <w:left w:val="single" w:sz="4" w:space="0" w:color="auto"/>
              <w:bottom w:val="single" w:sz="4" w:space="0" w:color="auto"/>
              <w:right w:val="nil"/>
            </w:tcBorders>
          </w:tcPr>
          <w:p w:rsidR="00596888" w:rsidRDefault="00596888" w:rsidP="008757FF">
            <w:pPr>
              <w:jc w:val="both"/>
              <w:rPr>
                <w:rFonts w:cs="Arial"/>
              </w:rPr>
            </w:pPr>
            <w:r>
              <w:rPr>
                <w:rFonts w:cs="Arial"/>
              </w:rPr>
              <w:t>Übrige Aktiva</w:t>
            </w:r>
          </w:p>
        </w:tc>
        <w:tc>
          <w:tcPr>
            <w:tcW w:w="571" w:type="dxa"/>
            <w:tcBorders>
              <w:top w:val="nil"/>
              <w:left w:val="nil"/>
              <w:bottom w:val="single" w:sz="4" w:space="0" w:color="auto"/>
              <w:right w:val="nil"/>
            </w:tcBorders>
          </w:tcPr>
          <w:p w:rsidR="00596888" w:rsidRPr="00DB69D5" w:rsidRDefault="00596888" w:rsidP="008757FF">
            <w:pPr>
              <w:jc w:val="both"/>
              <w:rPr>
                <w:rFonts w:cs="Arial"/>
              </w:rPr>
            </w:pPr>
          </w:p>
        </w:tc>
        <w:tc>
          <w:tcPr>
            <w:tcW w:w="1446" w:type="dxa"/>
            <w:tcBorders>
              <w:top w:val="nil"/>
              <w:left w:val="nil"/>
              <w:bottom w:val="single" w:sz="4" w:space="0" w:color="auto"/>
              <w:right w:val="single" w:sz="4" w:space="0" w:color="auto"/>
            </w:tcBorders>
          </w:tcPr>
          <w:p w:rsidR="00596888" w:rsidRPr="00DB69D5" w:rsidRDefault="00596888" w:rsidP="008757FF">
            <w:pPr>
              <w:jc w:val="right"/>
              <w:rPr>
                <w:rFonts w:cs="Arial"/>
              </w:rPr>
            </w:pPr>
            <w:r>
              <w:rPr>
                <w:rFonts w:cs="Arial"/>
              </w:rPr>
              <w:t>0 T€</w:t>
            </w:r>
          </w:p>
        </w:tc>
        <w:tc>
          <w:tcPr>
            <w:tcW w:w="2903" w:type="dxa"/>
            <w:gridSpan w:val="2"/>
            <w:tcBorders>
              <w:top w:val="nil"/>
              <w:left w:val="single" w:sz="4" w:space="0" w:color="auto"/>
              <w:right w:val="nil"/>
            </w:tcBorders>
          </w:tcPr>
          <w:p w:rsidR="00596888" w:rsidRPr="00DB69D5" w:rsidRDefault="00596888" w:rsidP="008757FF">
            <w:pPr>
              <w:jc w:val="both"/>
              <w:rPr>
                <w:rFonts w:cs="Arial"/>
              </w:rPr>
            </w:pPr>
            <w:r>
              <w:rPr>
                <w:rFonts w:cs="Arial"/>
              </w:rPr>
              <w:t>Übrige Passiva</w:t>
            </w:r>
          </w:p>
        </w:tc>
        <w:tc>
          <w:tcPr>
            <w:tcW w:w="1454" w:type="dxa"/>
            <w:tcBorders>
              <w:top w:val="nil"/>
              <w:left w:val="nil"/>
            </w:tcBorders>
          </w:tcPr>
          <w:p w:rsidR="00596888" w:rsidRPr="00DB69D5" w:rsidRDefault="00596888" w:rsidP="008757FF">
            <w:pPr>
              <w:jc w:val="right"/>
              <w:rPr>
                <w:rFonts w:cs="Arial"/>
              </w:rPr>
            </w:pPr>
            <w:r>
              <w:rPr>
                <w:rFonts w:cs="Arial"/>
              </w:rPr>
              <w:t>0 T€</w:t>
            </w:r>
          </w:p>
        </w:tc>
      </w:tr>
      <w:tr w:rsidR="00596888" w:rsidTr="008757FF">
        <w:tc>
          <w:tcPr>
            <w:tcW w:w="2331" w:type="dxa"/>
            <w:gridSpan w:val="2"/>
            <w:tcBorders>
              <w:top w:val="nil"/>
              <w:left w:val="single" w:sz="4" w:space="0" w:color="auto"/>
              <w:bottom w:val="single" w:sz="4" w:space="0" w:color="auto"/>
              <w:right w:val="nil"/>
            </w:tcBorders>
          </w:tcPr>
          <w:p w:rsidR="00596888" w:rsidRPr="00DB69D5" w:rsidRDefault="00596888" w:rsidP="008757FF">
            <w:pPr>
              <w:jc w:val="right"/>
              <w:rPr>
                <w:rFonts w:cs="Arial"/>
              </w:rPr>
            </w:pPr>
          </w:p>
        </w:tc>
        <w:tc>
          <w:tcPr>
            <w:tcW w:w="571" w:type="dxa"/>
            <w:tcBorders>
              <w:top w:val="nil"/>
              <w:left w:val="nil"/>
              <w:bottom w:val="single" w:sz="4" w:space="0" w:color="auto"/>
              <w:right w:val="nil"/>
            </w:tcBorders>
          </w:tcPr>
          <w:p w:rsidR="00596888" w:rsidRPr="00DB69D5" w:rsidRDefault="00596888" w:rsidP="008757FF">
            <w:pPr>
              <w:jc w:val="right"/>
              <w:rPr>
                <w:rFonts w:cs="Arial"/>
              </w:rPr>
            </w:pPr>
          </w:p>
        </w:tc>
        <w:tc>
          <w:tcPr>
            <w:tcW w:w="1446" w:type="dxa"/>
            <w:tcBorders>
              <w:top w:val="nil"/>
              <w:left w:val="nil"/>
              <w:bottom w:val="single" w:sz="4" w:space="0" w:color="auto"/>
              <w:right w:val="single" w:sz="4" w:space="0" w:color="auto"/>
            </w:tcBorders>
          </w:tcPr>
          <w:p w:rsidR="00596888" w:rsidRPr="00DB69D5" w:rsidRDefault="00596888" w:rsidP="008757FF">
            <w:pPr>
              <w:jc w:val="right"/>
              <w:rPr>
                <w:rFonts w:cs="Arial"/>
              </w:rPr>
            </w:pPr>
            <w:r>
              <w:rPr>
                <w:rFonts w:cs="Arial"/>
              </w:rPr>
              <w:t>260 T€</w:t>
            </w:r>
          </w:p>
        </w:tc>
        <w:tc>
          <w:tcPr>
            <w:tcW w:w="681" w:type="dxa"/>
            <w:tcBorders>
              <w:top w:val="nil"/>
              <w:left w:val="single" w:sz="4" w:space="0" w:color="auto"/>
              <w:right w:val="nil"/>
            </w:tcBorders>
          </w:tcPr>
          <w:p w:rsidR="00596888" w:rsidRPr="00DB69D5" w:rsidRDefault="00596888" w:rsidP="008757FF">
            <w:pPr>
              <w:jc w:val="right"/>
              <w:rPr>
                <w:rFonts w:cs="Arial"/>
              </w:rPr>
            </w:pPr>
          </w:p>
        </w:tc>
        <w:tc>
          <w:tcPr>
            <w:tcW w:w="2222" w:type="dxa"/>
            <w:tcBorders>
              <w:top w:val="nil"/>
              <w:left w:val="nil"/>
              <w:right w:val="nil"/>
            </w:tcBorders>
          </w:tcPr>
          <w:p w:rsidR="00596888" w:rsidRPr="00DB69D5" w:rsidRDefault="00596888" w:rsidP="008757FF">
            <w:pPr>
              <w:jc w:val="right"/>
              <w:rPr>
                <w:rFonts w:cs="Arial"/>
              </w:rPr>
            </w:pPr>
          </w:p>
        </w:tc>
        <w:tc>
          <w:tcPr>
            <w:tcW w:w="1454" w:type="dxa"/>
            <w:tcBorders>
              <w:top w:val="nil"/>
              <w:left w:val="nil"/>
            </w:tcBorders>
          </w:tcPr>
          <w:p w:rsidR="00596888" w:rsidRPr="00DB69D5" w:rsidRDefault="005222BE" w:rsidP="008757FF">
            <w:pPr>
              <w:jc w:val="right"/>
              <w:rPr>
                <w:rFonts w:cs="Arial"/>
              </w:rPr>
            </w:pPr>
            <w:r>
              <w:rPr>
                <w:rFonts w:cs="Arial"/>
              </w:rPr>
              <w:t>26</w:t>
            </w:r>
            <w:r w:rsidR="00596888">
              <w:rPr>
                <w:rFonts w:cs="Arial"/>
              </w:rPr>
              <w:t>0 T€</w:t>
            </w:r>
          </w:p>
        </w:tc>
      </w:tr>
    </w:tbl>
    <w:p w:rsidR="00596888" w:rsidRPr="00FA5A72" w:rsidRDefault="00596888" w:rsidP="00E20C5A">
      <w:pPr>
        <w:ind w:left="357"/>
        <w:jc w:val="both"/>
        <w:rPr>
          <w:rFonts w:cs="Arial"/>
        </w:rPr>
      </w:pPr>
    </w:p>
    <w:p w:rsidR="00E20C5A" w:rsidRDefault="0078050C" w:rsidP="00E20C5A">
      <w:pPr>
        <w:ind w:left="357"/>
        <w:jc w:val="both"/>
        <w:rPr>
          <w:rFonts w:cs="Arial"/>
        </w:rPr>
      </w:pPr>
      <w:r>
        <w:rPr>
          <w:rFonts w:cs="Arial"/>
        </w:rPr>
        <w:t xml:space="preserve">Die negativen Ergebnisse können </w:t>
      </w:r>
      <w:r w:rsidR="00C86BA3">
        <w:rPr>
          <w:rFonts w:cs="Arial"/>
        </w:rPr>
        <w:t>auch bei nicht mehr ausreichend vorhandenen Rücklagen (ab dem zweiten Jahr)</w:t>
      </w:r>
      <w:r w:rsidR="00E20C5A">
        <w:rPr>
          <w:rFonts w:cs="Arial"/>
        </w:rPr>
        <w:t xml:space="preserve"> genehmigt</w:t>
      </w:r>
      <w:r w:rsidR="00C86BA3">
        <w:rPr>
          <w:rFonts w:cs="Arial"/>
        </w:rPr>
        <w:t xml:space="preserve"> werden</w:t>
      </w:r>
      <w:r w:rsidR="00E20C5A">
        <w:rPr>
          <w:rFonts w:cs="Arial"/>
        </w:rPr>
        <w:t>, weil die Summe aus Kapitalstock, Ergebnisrück</w:t>
      </w:r>
      <w:r w:rsidR="005222BE">
        <w:rPr>
          <w:rFonts w:cs="Arial"/>
        </w:rPr>
        <w:t>lagen und Ergebnisvortrag  mit 2</w:t>
      </w:r>
      <w:r w:rsidR="00E20C5A">
        <w:rPr>
          <w:rFonts w:cs="Arial"/>
        </w:rPr>
        <w:t>04.000 € weiterhin höher ist als v</w:t>
      </w:r>
      <w:r w:rsidR="005222BE">
        <w:rPr>
          <w:rFonts w:cs="Arial"/>
        </w:rPr>
        <w:t>or der Bewertung des Gebäudes (1</w:t>
      </w:r>
      <w:r w:rsidR="00E20C5A">
        <w:rPr>
          <w:rFonts w:cs="Arial"/>
        </w:rPr>
        <w:t xml:space="preserve">20.000 €). </w:t>
      </w:r>
    </w:p>
    <w:p w:rsidR="00E20C5A" w:rsidRDefault="00E20C5A" w:rsidP="00E20C5A">
      <w:pPr>
        <w:pStyle w:val="Listenabsatz"/>
        <w:ind w:left="357"/>
        <w:jc w:val="both"/>
        <w:rPr>
          <w:rFonts w:cs="Arial"/>
        </w:rPr>
      </w:pPr>
      <w:r>
        <w:rPr>
          <w:rFonts w:cs="Arial"/>
        </w:rPr>
        <w:t>Bei einem Defizit über de</w:t>
      </w:r>
      <w:r w:rsidR="005222BE">
        <w:rPr>
          <w:rFonts w:cs="Arial"/>
        </w:rPr>
        <w:t>n</w:t>
      </w:r>
      <w:r>
        <w:rPr>
          <w:rFonts w:cs="Arial"/>
        </w:rPr>
        <w:t xml:space="preserve"> Eigenanteil der Abschreibungen</w:t>
      </w:r>
      <w:r w:rsidR="00C86BA3">
        <w:rPr>
          <w:rFonts w:cs="Arial"/>
        </w:rPr>
        <w:t xml:space="preserve"> </w:t>
      </w:r>
      <w:r w:rsidR="005222BE">
        <w:rPr>
          <w:rFonts w:cs="Arial"/>
        </w:rPr>
        <w:t xml:space="preserve">hinaus, </w:t>
      </w:r>
      <w:r>
        <w:rPr>
          <w:rFonts w:cs="Arial"/>
        </w:rPr>
        <w:t xml:space="preserve">könnte der Haushalt nicht </w:t>
      </w:r>
      <w:r w:rsidR="002F2092">
        <w:rPr>
          <w:rFonts w:cs="Arial"/>
        </w:rPr>
        <w:t xml:space="preserve">ohne weiteres </w:t>
      </w:r>
      <w:r>
        <w:rPr>
          <w:rFonts w:cs="Arial"/>
        </w:rPr>
        <w:t xml:space="preserve">genehmigt werden. </w:t>
      </w:r>
    </w:p>
    <w:p w:rsidR="00F519C6" w:rsidRPr="00F519C6" w:rsidRDefault="00F519C6" w:rsidP="00F519C6">
      <w:pPr>
        <w:jc w:val="both"/>
        <w:rPr>
          <w:rFonts w:cs="Arial"/>
        </w:rPr>
      </w:pPr>
    </w:p>
    <w:p w:rsidR="00F519C6" w:rsidRPr="00F519C6" w:rsidRDefault="00F519C6" w:rsidP="00F519C6">
      <w:pPr>
        <w:rPr>
          <w:b/>
        </w:rPr>
      </w:pPr>
      <w:r w:rsidRPr="00F519C6">
        <w:rPr>
          <w:b/>
        </w:rPr>
        <w:t>Wie erfolgt die Verbuchung bzw. Ergebnisverwendung?</w:t>
      </w:r>
    </w:p>
    <w:p w:rsidR="00F519C6" w:rsidRDefault="00F519C6" w:rsidP="00F519C6">
      <w:pPr>
        <w:spacing w:after="0"/>
        <w:rPr>
          <w:rFonts w:cs="Arial"/>
        </w:rPr>
      </w:pPr>
      <w:r w:rsidRPr="00F519C6">
        <w:t>Die Bewertung der Gebäude erhöht in der Bilanz das Anlagevermögen auf der Aktivseite und</w:t>
      </w:r>
      <w:r w:rsidRPr="00F519C6">
        <w:rPr>
          <w:rFonts w:cs="Arial"/>
        </w:rPr>
        <w:t xml:space="preserve"> den</w:t>
      </w:r>
      <w:r>
        <w:rPr>
          <w:rFonts w:cs="Arial"/>
        </w:rPr>
        <w:t xml:space="preserve"> Kapitalstock im Eigenkapital und den Sonderposten auf der Passivseite. Die Verbuchung der Jahresergebnisse insgesamt (inklusive Eigenanteil der Abschreibungen) erfolgt wie bisher über die Schlüsselzuweisungsrücklage bzw. den Ergebnisvortrag.</w:t>
      </w:r>
    </w:p>
    <w:p w:rsidR="00F519C6" w:rsidRPr="00F519C6" w:rsidRDefault="00F519C6" w:rsidP="00F519C6">
      <w:pPr>
        <w:rPr>
          <w:rFonts w:cs="Arial"/>
        </w:rPr>
      </w:pPr>
    </w:p>
    <w:p w:rsidR="00F519C6" w:rsidRDefault="00F519C6" w:rsidP="00F519C6">
      <w:pPr>
        <w:pStyle w:val="Listenabsatz"/>
        <w:ind w:left="0"/>
        <w:jc w:val="both"/>
        <w:rPr>
          <w:rFonts w:cs="Arial"/>
        </w:rPr>
      </w:pPr>
      <w:r>
        <w:rPr>
          <w:rFonts w:cs="Arial"/>
          <w:i/>
        </w:rPr>
        <w:t>Warum erfolgt die Verbuchung des Eigenanteils AfA nicht gegen den Kapitalstock?</w:t>
      </w:r>
    </w:p>
    <w:p w:rsidR="00F519C6" w:rsidRDefault="00F519C6" w:rsidP="00F519C6">
      <w:pPr>
        <w:pStyle w:val="Listenabsatz"/>
        <w:numPr>
          <w:ilvl w:val="0"/>
          <w:numId w:val="12"/>
        </w:numPr>
        <w:jc w:val="both"/>
        <w:rPr>
          <w:rFonts w:cs="Arial"/>
        </w:rPr>
      </w:pPr>
      <w:r>
        <w:rPr>
          <w:rFonts w:cs="Arial"/>
        </w:rPr>
        <w:t xml:space="preserve">Der Kapitalstock bleibt als feste Größe zum Einbuchungszeitpunkt bestehen. </w:t>
      </w:r>
    </w:p>
    <w:p w:rsidR="00F519C6" w:rsidRDefault="00F519C6" w:rsidP="00F519C6">
      <w:pPr>
        <w:pStyle w:val="Listenabsatz"/>
        <w:numPr>
          <w:ilvl w:val="0"/>
          <w:numId w:val="12"/>
        </w:numPr>
        <w:jc w:val="both"/>
        <w:rPr>
          <w:rFonts w:cs="Arial"/>
        </w:rPr>
      </w:pPr>
      <w:r>
        <w:rPr>
          <w:rFonts w:cs="Arial"/>
        </w:rPr>
        <w:t>Die wirtschaftliche Entwicklung ist über den Verlauf von Rücklagen bzw. Ergebnis direkt abzulesen.</w:t>
      </w:r>
    </w:p>
    <w:p w:rsidR="00F519C6" w:rsidRDefault="00F519C6" w:rsidP="00F519C6">
      <w:pPr>
        <w:pStyle w:val="Listenabsatz"/>
        <w:numPr>
          <w:ilvl w:val="0"/>
          <w:numId w:val="12"/>
        </w:numPr>
        <w:jc w:val="both"/>
        <w:rPr>
          <w:rFonts w:cs="Arial"/>
        </w:rPr>
      </w:pPr>
      <w:r>
        <w:rPr>
          <w:rFonts w:cs="Arial"/>
        </w:rPr>
        <w:t>Das Bewusstsein über die Ergebniswirkung des Immobilienbestands ist auf diese Weise größer.</w:t>
      </w:r>
    </w:p>
    <w:p w:rsidR="001321BB" w:rsidRPr="004C7560" w:rsidRDefault="00F519C6" w:rsidP="004C7560">
      <w:pPr>
        <w:pStyle w:val="Listenabsatz"/>
        <w:numPr>
          <w:ilvl w:val="0"/>
          <w:numId w:val="12"/>
        </w:numPr>
        <w:ind w:left="357" w:hanging="357"/>
        <w:jc w:val="both"/>
        <w:rPr>
          <w:rFonts w:cs="Arial"/>
        </w:rPr>
      </w:pPr>
      <w:r>
        <w:rPr>
          <w:rFonts w:cs="Arial"/>
        </w:rPr>
        <w:t>Für die Genehmigung negativer Haushaltspläne ist das Vorhandensein von Rücklagen</w:t>
      </w:r>
      <w:r w:rsidR="00603F21">
        <w:rPr>
          <w:rFonts w:cs="Arial"/>
        </w:rPr>
        <w:t xml:space="preserve"> als Teil des Eigenkapitals auf der Passivseite der Bilanz</w:t>
      </w:r>
      <w:r>
        <w:rPr>
          <w:rFonts w:cs="Arial"/>
        </w:rPr>
        <w:t xml:space="preserve"> nicht (mehr) erforderlich </w:t>
      </w:r>
    </w:p>
    <w:p w:rsidR="001321BB" w:rsidRDefault="001321BB" w:rsidP="00B17577">
      <w:pPr>
        <w:pStyle w:val="Listenabsatz"/>
        <w:ind w:left="0"/>
        <w:jc w:val="both"/>
        <w:rPr>
          <w:rFonts w:cs="Arial"/>
        </w:rPr>
      </w:pPr>
    </w:p>
    <w:p w:rsidR="004C7560" w:rsidRPr="00E95C88" w:rsidRDefault="004C7560" w:rsidP="00B17577">
      <w:pPr>
        <w:pStyle w:val="Listenabsatz"/>
        <w:ind w:left="0"/>
        <w:jc w:val="both"/>
        <w:rPr>
          <w:rFonts w:cs="Arial"/>
        </w:rPr>
      </w:pPr>
    </w:p>
    <w:p w:rsidR="001321BB" w:rsidRDefault="00D31D4B" w:rsidP="00275626">
      <w:pPr>
        <w:pStyle w:val="Listenabsatz"/>
        <w:ind w:left="0"/>
        <w:jc w:val="both"/>
        <w:rPr>
          <w:rFonts w:cs="Arial"/>
          <w:b/>
        </w:rPr>
      </w:pPr>
      <w:r>
        <w:rPr>
          <w:rFonts w:cs="Arial"/>
          <w:b/>
        </w:rPr>
        <w:t xml:space="preserve">Werden </w:t>
      </w:r>
      <w:r w:rsidR="00275626" w:rsidRPr="008D05A8">
        <w:rPr>
          <w:rFonts w:cs="Arial"/>
          <w:b/>
        </w:rPr>
        <w:t xml:space="preserve">künftig </w:t>
      </w:r>
      <w:r>
        <w:rPr>
          <w:rFonts w:cs="Arial"/>
          <w:b/>
        </w:rPr>
        <w:t>noch Baumaßnahmen durch das EGV genehmigt</w:t>
      </w:r>
      <w:r w:rsidR="00275626" w:rsidRPr="008D05A8">
        <w:rPr>
          <w:rFonts w:cs="Arial"/>
          <w:b/>
        </w:rPr>
        <w:t>?</w:t>
      </w:r>
    </w:p>
    <w:p w:rsidR="00275626" w:rsidRDefault="00275626" w:rsidP="00275626">
      <w:pPr>
        <w:pStyle w:val="Listenabsatz"/>
        <w:ind w:left="0"/>
        <w:jc w:val="both"/>
        <w:rPr>
          <w:rFonts w:cs="Arial"/>
          <w:b/>
        </w:rPr>
      </w:pPr>
      <w:r>
        <w:rPr>
          <w:rFonts w:cs="Arial"/>
        </w:rPr>
        <w:t xml:space="preserve">Notwendige Baumaßnahmen können i.d.R. auch bei aufgrund der Abschreibungen negativen Haushaltsplänen genehmigt werden. Wichtig ist, dass ausreichend </w:t>
      </w:r>
      <w:r w:rsidR="00E04AA6">
        <w:rPr>
          <w:rFonts w:cs="Arial"/>
        </w:rPr>
        <w:t xml:space="preserve">frei verwendbare </w:t>
      </w:r>
      <w:r>
        <w:rPr>
          <w:rFonts w:cs="Arial"/>
        </w:rPr>
        <w:t xml:space="preserve">finanzielle Mittel </w:t>
      </w:r>
      <w:r w:rsidR="00603F21">
        <w:rPr>
          <w:rFonts w:cs="Arial"/>
        </w:rPr>
        <w:t xml:space="preserve">in den Bilanzaktiva </w:t>
      </w:r>
      <w:r>
        <w:rPr>
          <w:rFonts w:cs="Arial"/>
        </w:rPr>
        <w:t>vorhanden</w:t>
      </w:r>
      <w:r w:rsidR="00E04AA6">
        <w:rPr>
          <w:rFonts w:cs="Arial"/>
        </w:rPr>
        <w:t xml:space="preserve"> sind.</w:t>
      </w:r>
      <w:r>
        <w:rPr>
          <w:rFonts w:cs="Arial"/>
        </w:rPr>
        <w:t xml:space="preserve"> Da die Abschreibungen keine Liquiditätswirkung haben, gibt es keine unmittelbare Auswirkung auf geplante Bauvorhaben.</w:t>
      </w:r>
      <w:r w:rsidR="00E04AA6">
        <w:rPr>
          <w:rFonts w:cs="Arial"/>
        </w:rPr>
        <w:t xml:space="preserve"> Allerdings müssen bei Baumaßnahmen immer auch die Folgekosten (z.B. Energie, Reinigung, I</w:t>
      </w:r>
      <w:r w:rsidR="00C52A2A">
        <w:rPr>
          <w:rFonts w:cs="Arial"/>
        </w:rPr>
        <w:t>nstandhaltungen, Abschreibungen</w:t>
      </w:r>
      <w:r w:rsidR="00E04AA6">
        <w:rPr>
          <w:rFonts w:cs="Arial"/>
        </w:rPr>
        <w:t xml:space="preserve">) und deren Auswirkungen auf die Haushalte/Jahresabschlüsse der Kirchengemeinde berücksichtigt werden.  </w:t>
      </w:r>
    </w:p>
    <w:p w:rsidR="00582575" w:rsidRDefault="00582575" w:rsidP="00582575">
      <w:pPr>
        <w:rPr>
          <w:b/>
        </w:rPr>
      </w:pPr>
    </w:p>
    <w:p w:rsidR="00582575" w:rsidRDefault="00582575" w:rsidP="00582575">
      <w:pPr>
        <w:rPr>
          <w:b/>
        </w:rPr>
      </w:pPr>
      <w:r>
        <w:rPr>
          <w:b/>
        </w:rPr>
        <w:t>Werden die Schlüsselzuweisungen angepasst?</w:t>
      </w:r>
    </w:p>
    <w:p w:rsidR="00582575" w:rsidRDefault="00582575" w:rsidP="00582575">
      <w:pPr>
        <w:pStyle w:val="Listenabsatz"/>
        <w:ind w:left="0"/>
        <w:jc w:val="both"/>
        <w:rPr>
          <w:rFonts w:cs="Arial"/>
        </w:rPr>
      </w:pPr>
      <w:r>
        <w:rPr>
          <w:rFonts w:cs="Arial"/>
        </w:rPr>
        <w:t xml:space="preserve">Zum Ausgleich negativer Jahresergebnisse kommen einerseits Einsparungen auf der Aufwandsseite, andererseits eine Verbesserung der Ertragsseite in Frage. Die Erträge der Kirchengemeinden bestehen im Wesentlichen aus Schlüsselzuweisungen des EGV aus Kirchensteuermitteln. Auf die Höhe der Schlüsselzuweisungen haben die einzelnen Kirchenvorstände keinen direkten Einfluss. Über die Systematik und Höhe der Zuweisung entscheidet der Kirchensteuerrat. </w:t>
      </w:r>
    </w:p>
    <w:p w:rsidR="00582575" w:rsidRDefault="00582575" w:rsidP="00582575">
      <w:pPr>
        <w:pStyle w:val="Listenabsatz"/>
        <w:ind w:left="0"/>
        <w:jc w:val="both"/>
        <w:rPr>
          <w:rFonts w:cs="Arial"/>
        </w:rPr>
      </w:pPr>
      <w:r>
        <w:rPr>
          <w:rFonts w:cs="Arial"/>
        </w:rPr>
        <w:t xml:space="preserve">In seiner Sitzung im Mai 2016 hat der Kirchensteuerrat auch vor dem Hintergrund der „AfAProblematik“ eine Evaluation der Schlüsselzuweisungssystematik im Jahr 2018 beschlossen. </w:t>
      </w:r>
    </w:p>
    <w:p w:rsidR="00582575" w:rsidRDefault="00582575" w:rsidP="00582575">
      <w:pPr>
        <w:pStyle w:val="Listenabsatz"/>
        <w:ind w:left="0"/>
        <w:jc w:val="both"/>
        <w:rPr>
          <w:rFonts w:cs="Arial"/>
        </w:rPr>
      </w:pPr>
      <w:r>
        <w:rPr>
          <w:rFonts w:cs="Arial"/>
        </w:rPr>
        <w:t xml:space="preserve">In der Zwischenzeit bleibt es bei der bekannten Systematik: </w:t>
      </w:r>
    </w:p>
    <w:p w:rsidR="00603F21" w:rsidRDefault="00582575" w:rsidP="00582575">
      <w:pPr>
        <w:pStyle w:val="Listenabsatz"/>
        <w:ind w:left="0"/>
        <w:jc w:val="both"/>
        <w:rPr>
          <w:rFonts w:cs="Arial"/>
        </w:rPr>
      </w:pPr>
      <w:r>
        <w:rPr>
          <w:rFonts w:cs="Arial"/>
        </w:rPr>
        <w:t>Aus Gebäudestruktur und Mitgliederzahl jeder Kirchengemeinde ergibt sich eine Summe von Schlüsselzuweisungspunkten. Diese Punkte werden mit einem jährlich festgelegten Punktwert (1,87 € im Jahr 2016) multipliziert und ergeben damit die Basis für die Schlüsselzuweisungen an die Kirchengemeinde. Der Punktwert wird i.d.R. jährlich moderat erhöht. Ziel dieser Komponente ist eine möglichst konstante Entwicklung der Schlüsselzuweisungen und damit hohe Planungssicherheit für die Kirchengemeinden.</w:t>
      </w:r>
      <w:r w:rsidR="00603F21">
        <w:rPr>
          <w:rFonts w:cs="Arial"/>
        </w:rPr>
        <w:t xml:space="preserve"> Eigene Vermögenserträge werden teilweise auf die Zuweisung angerechnet. </w:t>
      </w:r>
    </w:p>
    <w:p w:rsidR="00582575" w:rsidRDefault="00582575" w:rsidP="00582575">
      <w:pPr>
        <w:pStyle w:val="Listenabsatz"/>
        <w:ind w:left="0"/>
        <w:jc w:val="both"/>
        <w:rPr>
          <w:rFonts w:cs="Arial"/>
        </w:rPr>
      </w:pPr>
      <w:r>
        <w:rPr>
          <w:rFonts w:cs="Arial"/>
        </w:rPr>
        <w:t xml:space="preserve">Eine zweite Komponente der Zuweisung an die Kirchengemeinden sind Sonderausschüttungen. Diese sind abhängig von der wirtschaftlichen Lage und der Entwicklung der Kirchensteuern. In den letzten Jahren konnten aufgrund der positiven wirtschaftlichen Entwicklung immer Sonderausschüttungen erfolgen. Diese Komponente ist allerdings langfristig gesehen sehr unsicher und daher nicht planbar. </w:t>
      </w:r>
    </w:p>
    <w:p w:rsidR="009901C4" w:rsidRDefault="009901C4" w:rsidP="009901C4">
      <w:pPr>
        <w:rPr>
          <w:b/>
        </w:rPr>
      </w:pPr>
    </w:p>
    <w:p w:rsidR="009901C4" w:rsidRDefault="009901C4" w:rsidP="009901C4">
      <w:pPr>
        <w:rPr>
          <w:b/>
        </w:rPr>
      </w:pPr>
      <w:r>
        <w:rPr>
          <w:b/>
        </w:rPr>
        <w:t xml:space="preserve">Was passiert wenn der Haushaltsplan nicht </w:t>
      </w:r>
      <w:r w:rsidR="005B652B">
        <w:rPr>
          <w:b/>
        </w:rPr>
        <w:t>beschlossen</w:t>
      </w:r>
      <w:r>
        <w:rPr>
          <w:b/>
        </w:rPr>
        <w:t xml:space="preserve"> wird?</w:t>
      </w:r>
    </w:p>
    <w:p w:rsidR="005B652B" w:rsidRDefault="00576E31" w:rsidP="000F3EF4">
      <w:pPr>
        <w:spacing w:after="0"/>
        <w:jc w:val="both"/>
        <w:rPr>
          <w:rFonts w:cs="Arial"/>
        </w:rPr>
      </w:pPr>
      <w:r>
        <w:rPr>
          <w:rFonts w:cs="Arial"/>
        </w:rPr>
        <w:t xml:space="preserve">Der Haushaltsplan ist die Grundlage für die Bemessung der Schlüsselzuweisung aus Kirchensteuermitteln. Sollte kein Haushaltsplan vorgelegt werden, erfolgt – bislang theoretisch – keine Zahlung auf das Konto der Kirchengemeinde beim Gemeindeverband. Gemäß § 7 der Haushaltsordnung für das Erzbistum Paderborn besteht dann eine „Vorläufige Haushaltsführung“ für die Kirchengemeinde, bei der </w:t>
      </w:r>
    </w:p>
    <w:p w:rsidR="00576E31" w:rsidRPr="00576E31" w:rsidRDefault="00576E31" w:rsidP="00576E31">
      <w:pPr>
        <w:pStyle w:val="Listenabsatz"/>
        <w:numPr>
          <w:ilvl w:val="0"/>
          <w:numId w:val="14"/>
        </w:numPr>
        <w:spacing w:after="0"/>
        <w:jc w:val="both"/>
        <w:rPr>
          <w:rFonts w:cs="Arial"/>
        </w:rPr>
      </w:pPr>
      <w:r w:rsidRPr="00576E31">
        <w:rPr>
          <w:rFonts w:cs="Arial"/>
        </w:rPr>
        <w:t>Aufwendu</w:t>
      </w:r>
      <w:r w:rsidR="00113F5D">
        <w:rPr>
          <w:rFonts w:cs="Arial"/>
        </w:rPr>
        <w:t>ng</w:t>
      </w:r>
      <w:r w:rsidRPr="00576E31">
        <w:rPr>
          <w:rFonts w:cs="Arial"/>
        </w:rPr>
        <w:t>en und Auszahlungen nur insoweit getätigt werden dürfen, wie sie aufgrund einer rechtlichen Verpflichtung oder zur Aufgabenerfüllung dringend notwendig sind</w:t>
      </w:r>
    </w:p>
    <w:p w:rsidR="00576E31" w:rsidRDefault="00113F5D" w:rsidP="00576E31">
      <w:pPr>
        <w:pStyle w:val="Listenabsatz"/>
        <w:numPr>
          <w:ilvl w:val="0"/>
          <w:numId w:val="14"/>
        </w:numPr>
        <w:spacing w:after="0"/>
        <w:jc w:val="both"/>
        <w:rPr>
          <w:rFonts w:cs="Arial"/>
        </w:rPr>
      </w:pPr>
      <w:r>
        <w:rPr>
          <w:rFonts w:cs="Arial"/>
        </w:rPr>
        <w:t xml:space="preserve">Investitionen und die damit einhergehende Finanzierung nur begonnen oder fortgeführt werden darf, soweit die entsprechenden Genehmigungen vorliegen </w:t>
      </w:r>
    </w:p>
    <w:p w:rsidR="00113F5D" w:rsidRDefault="00113F5D" w:rsidP="00576E31">
      <w:pPr>
        <w:pStyle w:val="Listenabsatz"/>
        <w:numPr>
          <w:ilvl w:val="0"/>
          <w:numId w:val="14"/>
        </w:numPr>
        <w:spacing w:after="0"/>
        <w:jc w:val="both"/>
        <w:rPr>
          <w:rFonts w:cs="Arial"/>
        </w:rPr>
      </w:pPr>
      <w:r>
        <w:rPr>
          <w:rFonts w:cs="Arial"/>
        </w:rPr>
        <w:t>Weitere Kredite nur zum Zweck der Umschuldung aufgenommen werden dürfen.</w:t>
      </w:r>
    </w:p>
    <w:p w:rsidR="0081731A" w:rsidRDefault="00113F5D" w:rsidP="0081731A">
      <w:pPr>
        <w:rPr>
          <w:rFonts w:cs="Arial"/>
        </w:rPr>
      </w:pPr>
      <w:r>
        <w:rPr>
          <w:rFonts w:cs="Arial"/>
        </w:rPr>
        <w:t>Rechnungen der Kirchengemeinde würden vom Gemeindeverband nur noch dann beglichen, soweit sie den oben beschriebenen Kriterien entsprechen.</w:t>
      </w:r>
      <w:r w:rsidR="0081731A" w:rsidRPr="0081731A">
        <w:rPr>
          <w:rFonts w:cs="Arial"/>
        </w:rPr>
        <w:t xml:space="preserve"> </w:t>
      </w:r>
    </w:p>
    <w:p w:rsidR="0081731A" w:rsidRPr="0081731A" w:rsidRDefault="0081731A" w:rsidP="0081731A">
      <w:pPr>
        <w:rPr>
          <w:rFonts w:eastAsia="Times New Roman" w:cs="Times New Roman"/>
          <w:szCs w:val="20"/>
          <w:lang w:eastAsia="de-DE"/>
        </w:rPr>
      </w:pPr>
      <w:r w:rsidRPr="0081731A">
        <w:rPr>
          <w:rFonts w:cs="Arial"/>
        </w:rPr>
        <w:t>Um für die laufenden Ausgaben legitimiert zu sein, wird jedem Kirchenvorstand empfohlen, den Etat für da</w:t>
      </w:r>
      <w:r w:rsidR="004E31BD">
        <w:rPr>
          <w:rFonts w:cs="Arial"/>
        </w:rPr>
        <w:t>s laufende Haushaltsjahr</w:t>
      </w:r>
      <w:r w:rsidRPr="0081731A">
        <w:rPr>
          <w:rFonts w:cs="Arial"/>
        </w:rPr>
        <w:t xml:space="preserve"> zeitnah nach der Vorlage des Entwurfs zu beschließen. Dabei steht ihm selbstverständlich die Entscheidung zu, den Entwurf des Gemeindeverbandes zu überarbeiten oder bereits im Vorfeld seine</w:t>
      </w:r>
      <w:r w:rsidR="00D12CE0">
        <w:rPr>
          <w:rFonts w:cs="Arial"/>
        </w:rPr>
        <w:t xml:space="preserve"> Vorgaben</w:t>
      </w:r>
      <w:r w:rsidRPr="0081731A">
        <w:rPr>
          <w:rFonts w:cs="Arial"/>
        </w:rPr>
        <w:t xml:space="preserve"> einzubringen</w:t>
      </w:r>
      <w:r w:rsidRPr="0081731A">
        <w:rPr>
          <w:rFonts w:eastAsia="Times New Roman" w:cs="Times New Roman"/>
          <w:szCs w:val="20"/>
          <w:lang w:eastAsia="de-DE"/>
        </w:rPr>
        <w:t>.</w:t>
      </w:r>
    </w:p>
    <w:p w:rsidR="00113F5D" w:rsidRDefault="00113F5D" w:rsidP="00113F5D">
      <w:pPr>
        <w:jc w:val="both"/>
        <w:rPr>
          <w:rFonts w:cs="Arial"/>
        </w:rPr>
      </w:pPr>
    </w:p>
    <w:p w:rsidR="005B652B" w:rsidRDefault="005B652B" w:rsidP="00113F5D">
      <w:pPr>
        <w:rPr>
          <w:b/>
        </w:rPr>
      </w:pPr>
      <w:r>
        <w:rPr>
          <w:b/>
        </w:rPr>
        <w:t>W</w:t>
      </w:r>
      <w:r w:rsidR="00113F5D">
        <w:rPr>
          <w:b/>
        </w:rPr>
        <w:t>ie wird mit den für das Jahr 2016 nicht oder</w:t>
      </w:r>
      <w:r>
        <w:rPr>
          <w:b/>
        </w:rPr>
        <w:t xml:space="preserve"> „unter Vorbehalt“ beschlossenen Haushaltsplänen</w:t>
      </w:r>
      <w:r w:rsidR="00113F5D">
        <w:rPr>
          <w:b/>
        </w:rPr>
        <w:t xml:space="preserve"> umgegangen</w:t>
      </w:r>
      <w:r>
        <w:rPr>
          <w:b/>
        </w:rPr>
        <w:t>?</w:t>
      </w:r>
    </w:p>
    <w:p w:rsidR="005B652B" w:rsidRDefault="00113F5D" w:rsidP="00113F5D">
      <w:pPr>
        <w:jc w:val="both"/>
        <w:rPr>
          <w:rFonts w:cs="Arial"/>
        </w:rPr>
      </w:pPr>
      <w:r>
        <w:rPr>
          <w:rFonts w:cs="Arial"/>
        </w:rPr>
        <w:t xml:space="preserve">Wir </w:t>
      </w:r>
      <w:r w:rsidR="00177DA5">
        <w:rPr>
          <w:rFonts w:cs="Arial"/>
        </w:rPr>
        <w:t xml:space="preserve">hoffen, dass die in diesem Schreiben zusammengefassten Informationen Fragen und Bedenken ausräumen konnten und </w:t>
      </w:r>
      <w:r>
        <w:rPr>
          <w:rFonts w:cs="Arial"/>
        </w:rPr>
        <w:t xml:space="preserve">bitten die betroffenen Kirchenvorstände, die nicht oder unter Vorbehalt beschlossenen </w:t>
      </w:r>
      <w:r w:rsidR="00177DA5">
        <w:rPr>
          <w:rFonts w:cs="Arial"/>
        </w:rPr>
        <w:t>Haushaltspläne nochmals zu beraten</w:t>
      </w:r>
      <w:r w:rsidR="0081731A">
        <w:rPr>
          <w:rFonts w:cs="Arial"/>
        </w:rPr>
        <w:t xml:space="preserve">, </w:t>
      </w:r>
      <w:r w:rsidR="00177DA5">
        <w:rPr>
          <w:rFonts w:cs="Arial"/>
        </w:rPr>
        <w:t>zu beschließen</w:t>
      </w:r>
      <w:r w:rsidR="0081731A">
        <w:rPr>
          <w:rFonts w:cs="Arial"/>
        </w:rPr>
        <w:t xml:space="preserve"> und zur Genehmigung einzureichen</w:t>
      </w:r>
      <w:r w:rsidR="00177DA5">
        <w:rPr>
          <w:rFonts w:cs="Arial"/>
        </w:rPr>
        <w:t>.</w:t>
      </w:r>
    </w:p>
    <w:p w:rsidR="00603F21" w:rsidRDefault="00603F21" w:rsidP="00113F5D">
      <w:pPr>
        <w:jc w:val="both"/>
        <w:rPr>
          <w:rFonts w:cs="Arial"/>
        </w:rPr>
      </w:pPr>
    </w:p>
    <w:p w:rsidR="009901C4" w:rsidRDefault="009901C4" w:rsidP="000F3EF4">
      <w:pPr>
        <w:spacing w:after="0"/>
        <w:jc w:val="both"/>
        <w:rPr>
          <w:rFonts w:cs="Arial"/>
        </w:rPr>
      </w:pPr>
      <w:bookmarkStart w:id="0" w:name="_GoBack"/>
      <w:bookmarkEnd w:id="0"/>
    </w:p>
    <w:p w:rsidR="00200E22" w:rsidRPr="004E31BD" w:rsidRDefault="00200E22" w:rsidP="004E31BD">
      <w:pPr>
        <w:jc w:val="both"/>
        <w:rPr>
          <w:rFonts w:cs="Arial"/>
        </w:rPr>
      </w:pPr>
    </w:p>
    <w:sectPr w:rsidR="00200E22" w:rsidRPr="004E31BD" w:rsidSect="003D75CE">
      <w:head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5CE" w:rsidRDefault="003D75CE" w:rsidP="003D75CE">
      <w:pPr>
        <w:spacing w:after="0" w:line="240" w:lineRule="auto"/>
      </w:pPr>
      <w:r>
        <w:separator/>
      </w:r>
    </w:p>
  </w:endnote>
  <w:endnote w:type="continuationSeparator" w:id="0">
    <w:p w:rsidR="003D75CE" w:rsidRDefault="003D75CE" w:rsidP="003D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5CE" w:rsidRDefault="003D75CE" w:rsidP="003D75CE">
      <w:pPr>
        <w:spacing w:after="0" w:line="240" w:lineRule="auto"/>
      </w:pPr>
      <w:r>
        <w:separator/>
      </w:r>
    </w:p>
  </w:footnote>
  <w:footnote w:type="continuationSeparator" w:id="0">
    <w:p w:rsidR="003D75CE" w:rsidRDefault="003D75CE" w:rsidP="003D7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77888976"/>
      <w:docPartObj>
        <w:docPartGallery w:val="Page Numbers (Top of Page)"/>
        <w:docPartUnique/>
      </w:docPartObj>
    </w:sdtPr>
    <w:sdtEndPr/>
    <w:sdtContent>
      <w:p w:rsidR="003D75CE" w:rsidRPr="003D75CE" w:rsidRDefault="003D75CE" w:rsidP="003D75CE">
        <w:pPr>
          <w:pStyle w:val="Kopfzeile"/>
          <w:pBdr>
            <w:bottom w:val="single" w:sz="4" w:space="1" w:color="auto"/>
          </w:pBdr>
          <w:jc w:val="right"/>
          <w:rPr>
            <w:sz w:val="18"/>
            <w:szCs w:val="18"/>
          </w:rPr>
        </w:pPr>
        <w:r w:rsidRPr="003D75CE">
          <w:rPr>
            <w:sz w:val="18"/>
            <w:szCs w:val="18"/>
          </w:rPr>
          <w:fldChar w:fldCharType="begin"/>
        </w:r>
        <w:r w:rsidRPr="003D75CE">
          <w:rPr>
            <w:sz w:val="18"/>
            <w:szCs w:val="18"/>
          </w:rPr>
          <w:instrText>PAGE   \* MERGEFORMAT</w:instrText>
        </w:r>
        <w:r w:rsidRPr="003D75CE">
          <w:rPr>
            <w:sz w:val="18"/>
            <w:szCs w:val="18"/>
          </w:rPr>
          <w:fldChar w:fldCharType="separate"/>
        </w:r>
        <w:r w:rsidR="00FB65F1">
          <w:rPr>
            <w:noProof/>
            <w:sz w:val="18"/>
            <w:szCs w:val="18"/>
          </w:rPr>
          <w:t>7</w:t>
        </w:r>
        <w:r w:rsidRPr="003D75CE">
          <w:rPr>
            <w:sz w:val="18"/>
            <w:szCs w:val="18"/>
          </w:rPr>
          <w:fldChar w:fldCharType="end"/>
        </w:r>
      </w:p>
    </w:sdtContent>
  </w:sdt>
  <w:p w:rsidR="003D75CE" w:rsidRDefault="003D75C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D5A6766"/>
    <w:lvl w:ilvl="0">
      <w:numFmt w:val="bullet"/>
      <w:lvlText w:val="*"/>
      <w:lvlJc w:val="left"/>
    </w:lvl>
  </w:abstractNum>
  <w:abstractNum w:abstractNumId="1" w15:restartNumberingAfterBreak="0">
    <w:nsid w:val="03726069"/>
    <w:multiLevelType w:val="hybridMultilevel"/>
    <w:tmpl w:val="C55292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5E00F4A"/>
    <w:multiLevelType w:val="hybridMultilevel"/>
    <w:tmpl w:val="543E4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B04F4F"/>
    <w:multiLevelType w:val="hybridMultilevel"/>
    <w:tmpl w:val="69A8CC06"/>
    <w:lvl w:ilvl="0" w:tplc="0407000F">
      <w:start w:val="1"/>
      <w:numFmt w:val="decimal"/>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4" w15:restartNumberingAfterBreak="0">
    <w:nsid w:val="144B3600"/>
    <w:multiLevelType w:val="multilevel"/>
    <w:tmpl w:val="DBDA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A0EF1"/>
    <w:multiLevelType w:val="hybridMultilevel"/>
    <w:tmpl w:val="B03EAF5A"/>
    <w:lvl w:ilvl="0" w:tplc="5156A62C">
      <w:start w:val="1"/>
      <w:numFmt w:val="bullet"/>
      <w:lvlText w:val="-"/>
      <w:lvlJc w:val="left"/>
      <w:pPr>
        <w:ind w:left="1146" w:hanging="360"/>
      </w:pPr>
      <w:rPr>
        <w:rFonts w:ascii="Arial" w:hAnsi="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3F927653"/>
    <w:multiLevelType w:val="multilevel"/>
    <w:tmpl w:val="5882EC8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7" w15:restartNumberingAfterBreak="0">
    <w:nsid w:val="414A65F5"/>
    <w:multiLevelType w:val="hybridMultilevel"/>
    <w:tmpl w:val="0D6AEFE2"/>
    <w:lvl w:ilvl="0" w:tplc="B290D5F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576ABA"/>
    <w:multiLevelType w:val="hybridMultilevel"/>
    <w:tmpl w:val="65F286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2978A4"/>
    <w:multiLevelType w:val="hybridMultilevel"/>
    <w:tmpl w:val="1C985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C81982"/>
    <w:multiLevelType w:val="hybridMultilevel"/>
    <w:tmpl w:val="118A1A5E"/>
    <w:lvl w:ilvl="0" w:tplc="92F4FF4E">
      <w:start w:val="1"/>
      <w:numFmt w:val="bullet"/>
      <w:lvlText w:val=""/>
      <w:lvlJc w:val="left"/>
      <w:pPr>
        <w:ind w:left="717" w:hanging="360"/>
      </w:pPr>
      <w:rPr>
        <w:rFonts w:ascii="Wingdings" w:eastAsiaTheme="minorHAnsi" w:hAnsi="Wingdings" w:cs="Aria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1" w15:restartNumberingAfterBreak="0">
    <w:nsid w:val="67284152"/>
    <w:multiLevelType w:val="hybridMultilevel"/>
    <w:tmpl w:val="5DF872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01A5904"/>
    <w:multiLevelType w:val="hybridMultilevel"/>
    <w:tmpl w:val="5E1A9206"/>
    <w:lvl w:ilvl="0" w:tplc="9C12E9D0">
      <w:start w:val="1"/>
      <w:numFmt w:val="bullet"/>
      <w:lvlText w:val="•"/>
      <w:lvlJc w:val="left"/>
      <w:pPr>
        <w:tabs>
          <w:tab w:val="num" w:pos="720"/>
        </w:tabs>
        <w:ind w:left="720" w:hanging="360"/>
      </w:pPr>
      <w:rPr>
        <w:rFonts w:ascii="Times New Roman" w:hAnsi="Times New Roman" w:hint="default"/>
      </w:rPr>
    </w:lvl>
    <w:lvl w:ilvl="1" w:tplc="829655EE" w:tentative="1">
      <w:start w:val="1"/>
      <w:numFmt w:val="bullet"/>
      <w:lvlText w:val="•"/>
      <w:lvlJc w:val="left"/>
      <w:pPr>
        <w:tabs>
          <w:tab w:val="num" w:pos="1440"/>
        </w:tabs>
        <w:ind w:left="1440" w:hanging="360"/>
      </w:pPr>
      <w:rPr>
        <w:rFonts w:ascii="Times New Roman" w:hAnsi="Times New Roman" w:hint="default"/>
      </w:rPr>
    </w:lvl>
    <w:lvl w:ilvl="2" w:tplc="0B46D944" w:tentative="1">
      <w:start w:val="1"/>
      <w:numFmt w:val="bullet"/>
      <w:lvlText w:val="•"/>
      <w:lvlJc w:val="left"/>
      <w:pPr>
        <w:tabs>
          <w:tab w:val="num" w:pos="2160"/>
        </w:tabs>
        <w:ind w:left="2160" w:hanging="360"/>
      </w:pPr>
      <w:rPr>
        <w:rFonts w:ascii="Times New Roman" w:hAnsi="Times New Roman" w:hint="default"/>
      </w:rPr>
    </w:lvl>
    <w:lvl w:ilvl="3" w:tplc="B69870EC" w:tentative="1">
      <w:start w:val="1"/>
      <w:numFmt w:val="bullet"/>
      <w:lvlText w:val="•"/>
      <w:lvlJc w:val="left"/>
      <w:pPr>
        <w:tabs>
          <w:tab w:val="num" w:pos="2880"/>
        </w:tabs>
        <w:ind w:left="2880" w:hanging="360"/>
      </w:pPr>
      <w:rPr>
        <w:rFonts w:ascii="Times New Roman" w:hAnsi="Times New Roman" w:hint="default"/>
      </w:rPr>
    </w:lvl>
    <w:lvl w:ilvl="4" w:tplc="71625AD8" w:tentative="1">
      <w:start w:val="1"/>
      <w:numFmt w:val="bullet"/>
      <w:lvlText w:val="•"/>
      <w:lvlJc w:val="left"/>
      <w:pPr>
        <w:tabs>
          <w:tab w:val="num" w:pos="3600"/>
        </w:tabs>
        <w:ind w:left="3600" w:hanging="360"/>
      </w:pPr>
      <w:rPr>
        <w:rFonts w:ascii="Times New Roman" w:hAnsi="Times New Roman" w:hint="default"/>
      </w:rPr>
    </w:lvl>
    <w:lvl w:ilvl="5" w:tplc="873203A8" w:tentative="1">
      <w:start w:val="1"/>
      <w:numFmt w:val="bullet"/>
      <w:lvlText w:val="•"/>
      <w:lvlJc w:val="left"/>
      <w:pPr>
        <w:tabs>
          <w:tab w:val="num" w:pos="4320"/>
        </w:tabs>
        <w:ind w:left="4320" w:hanging="360"/>
      </w:pPr>
      <w:rPr>
        <w:rFonts w:ascii="Times New Roman" w:hAnsi="Times New Roman" w:hint="default"/>
      </w:rPr>
    </w:lvl>
    <w:lvl w:ilvl="6" w:tplc="A1B8AE38" w:tentative="1">
      <w:start w:val="1"/>
      <w:numFmt w:val="bullet"/>
      <w:lvlText w:val="•"/>
      <w:lvlJc w:val="left"/>
      <w:pPr>
        <w:tabs>
          <w:tab w:val="num" w:pos="5040"/>
        </w:tabs>
        <w:ind w:left="5040" w:hanging="360"/>
      </w:pPr>
      <w:rPr>
        <w:rFonts w:ascii="Times New Roman" w:hAnsi="Times New Roman" w:hint="default"/>
      </w:rPr>
    </w:lvl>
    <w:lvl w:ilvl="7" w:tplc="322C1660" w:tentative="1">
      <w:start w:val="1"/>
      <w:numFmt w:val="bullet"/>
      <w:lvlText w:val="•"/>
      <w:lvlJc w:val="left"/>
      <w:pPr>
        <w:tabs>
          <w:tab w:val="num" w:pos="5760"/>
        </w:tabs>
        <w:ind w:left="5760" w:hanging="360"/>
      </w:pPr>
      <w:rPr>
        <w:rFonts w:ascii="Times New Roman" w:hAnsi="Times New Roman" w:hint="default"/>
      </w:rPr>
    </w:lvl>
    <w:lvl w:ilvl="8" w:tplc="B9F6834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635BDE"/>
    <w:multiLevelType w:val="hybridMultilevel"/>
    <w:tmpl w:val="2C0E8E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12"/>
  </w:num>
  <w:num w:numId="6">
    <w:abstractNumId w:val="2"/>
  </w:num>
  <w:num w:numId="7">
    <w:abstractNumId w:val="0"/>
    <w:lvlOverride w:ilvl="0">
      <w:lvl w:ilvl="0">
        <w:numFmt w:val="bullet"/>
        <w:lvlText w:val=""/>
        <w:legacy w:legacy="1" w:legacySpace="0" w:legacyIndent="0"/>
        <w:lvlJc w:val="left"/>
        <w:rPr>
          <w:rFonts w:ascii="Symbol" w:hAnsi="Symbol" w:hint="default"/>
          <w:sz w:val="22"/>
        </w:rPr>
      </w:lvl>
    </w:lvlOverride>
  </w:num>
  <w:num w:numId="8">
    <w:abstractNumId w:val="7"/>
  </w:num>
  <w:num w:numId="9">
    <w:abstractNumId w:val="9"/>
  </w:num>
  <w:num w:numId="10">
    <w:abstractNumId w:val="3"/>
  </w:num>
  <w:num w:numId="11">
    <w:abstractNumId w:val="10"/>
  </w:num>
  <w:num w:numId="12">
    <w:abstractNumId w:val="11"/>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D1"/>
    <w:rsid w:val="00001BA7"/>
    <w:rsid w:val="000138F6"/>
    <w:rsid w:val="000263AC"/>
    <w:rsid w:val="00053DD9"/>
    <w:rsid w:val="00071440"/>
    <w:rsid w:val="00081B26"/>
    <w:rsid w:val="00087496"/>
    <w:rsid w:val="000A1CC1"/>
    <w:rsid w:val="000A3B44"/>
    <w:rsid w:val="000C597F"/>
    <w:rsid w:val="000D5FC1"/>
    <w:rsid w:val="000F2B27"/>
    <w:rsid w:val="000F3EF4"/>
    <w:rsid w:val="00113F5D"/>
    <w:rsid w:val="00116968"/>
    <w:rsid w:val="00121946"/>
    <w:rsid w:val="001321BB"/>
    <w:rsid w:val="00160853"/>
    <w:rsid w:val="00165741"/>
    <w:rsid w:val="00170C1D"/>
    <w:rsid w:val="00177DA5"/>
    <w:rsid w:val="001868BE"/>
    <w:rsid w:val="00191E24"/>
    <w:rsid w:val="001B35E1"/>
    <w:rsid w:val="00200E22"/>
    <w:rsid w:val="0022098E"/>
    <w:rsid w:val="00275626"/>
    <w:rsid w:val="00292DB7"/>
    <w:rsid w:val="002B52A9"/>
    <w:rsid w:val="002B6A70"/>
    <w:rsid w:val="002C4504"/>
    <w:rsid w:val="002F2092"/>
    <w:rsid w:val="0032344B"/>
    <w:rsid w:val="00341F46"/>
    <w:rsid w:val="00363AD7"/>
    <w:rsid w:val="00383636"/>
    <w:rsid w:val="003859B6"/>
    <w:rsid w:val="003A6B13"/>
    <w:rsid w:val="003C28C9"/>
    <w:rsid w:val="003C4772"/>
    <w:rsid w:val="003C68B6"/>
    <w:rsid w:val="003D30DA"/>
    <w:rsid w:val="003D33C9"/>
    <w:rsid w:val="003D4D93"/>
    <w:rsid w:val="003D75CE"/>
    <w:rsid w:val="00400223"/>
    <w:rsid w:val="00411AA3"/>
    <w:rsid w:val="004212C9"/>
    <w:rsid w:val="0042463D"/>
    <w:rsid w:val="004370DE"/>
    <w:rsid w:val="00473909"/>
    <w:rsid w:val="004A3ECE"/>
    <w:rsid w:val="004C1C96"/>
    <w:rsid w:val="004C7560"/>
    <w:rsid w:val="004E31BD"/>
    <w:rsid w:val="005159EF"/>
    <w:rsid w:val="00516FC0"/>
    <w:rsid w:val="005175F3"/>
    <w:rsid w:val="005222BE"/>
    <w:rsid w:val="0052462E"/>
    <w:rsid w:val="00525821"/>
    <w:rsid w:val="00532CCA"/>
    <w:rsid w:val="00575226"/>
    <w:rsid w:val="00575BB8"/>
    <w:rsid w:val="00576E31"/>
    <w:rsid w:val="00582575"/>
    <w:rsid w:val="005942EF"/>
    <w:rsid w:val="005953E1"/>
    <w:rsid w:val="005959F1"/>
    <w:rsid w:val="00596888"/>
    <w:rsid w:val="005B652B"/>
    <w:rsid w:val="005C645B"/>
    <w:rsid w:val="005E20EA"/>
    <w:rsid w:val="00603F21"/>
    <w:rsid w:val="00606CEA"/>
    <w:rsid w:val="00626221"/>
    <w:rsid w:val="006341DD"/>
    <w:rsid w:val="0063764A"/>
    <w:rsid w:val="00674F40"/>
    <w:rsid w:val="00680AE7"/>
    <w:rsid w:val="00682E1C"/>
    <w:rsid w:val="00683838"/>
    <w:rsid w:val="0068718B"/>
    <w:rsid w:val="00696BE3"/>
    <w:rsid w:val="006A6C55"/>
    <w:rsid w:val="006F580B"/>
    <w:rsid w:val="007217D6"/>
    <w:rsid w:val="00753526"/>
    <w:rsid w:val="0077145C"/>
    <w:rsid w:val="00777840"/>
    <w:rsid w:val="0078050C"/>
    <w:rsid w:val="00784D06"/>
    <w:rsid w:val="00796700"/>
    <w:rsid w:val="007A6B1C"/>
    <w:rsid w:val="007F5D9F"/>
    <w:rsid w:val="00800715"/>
    <w:rsid w:val="00815FBE"/>
    <w:rsid w:val="0081731A"/>
    <w:rsid w:val="00821821"/>
    <w:rsid w:val="008460A4"/>
    <w:rsid w:val="00880E7D"/>
    <w:rsid w:val="00893769"/>
    <w:rsid w:val="008A4138"/>
    <w:rsid w:val="008C0834"/>
    <w:rsid w:val="008D05A8"/>
    <w:rsid w:val="008E1CB1"/>
    <w:rsid w:val="008F6915"/>
    <w:rsid w:val="008F75B6"/>
    <w:rsid w:val="009064A1"/>
    <w:rsid w:val="00925CF3"/>
    <w:rsid w:val="00940D76"/>
    <w:rsid w:val="00950931"/>
    <w:rsid w:val="009728D1"/>
    <w:rsid w:val="0097589E"/>
    <w:rsid w:val="00981EB9"/>
    <w:rsid w:val="009901C4"/>
    <w:rsid w:val="00993DEB"/>
    <w:rsid w:val="009A49B4"/>
    <w:rsid w:val="009B6492"/>
    <w:rsid w:val="009B7B00"/>
    <w:rsid w:val="009C01F7"/>
    <w:rsid w:val="009C5BDB"/>
    <w:rsid w:val="009E44A2"/>
    <w:rsid w:val="00A04AD1"/>
    <w:rsid w:val="00A27CA0"/>
    <w:rsid w:val="00A73E95"/>
    <w:rsid w:val="00A755A8"/>
    <w:rsid w:val="00AB0003"/>
    <w:rsid w:val="00AB50AD"/>
    <w:rsid w:val="00AC17DB"/>
    <w:rsid w:val="00AC6212"/>
    <w:rsid w:val="00B144CF"/>
    <w:rsid w:val="00B17577"/>
    <w:rsid w:val="00B1764B"/>
    <w:rsid w:val="00B432B4"/>
    <w:rsid w:val="00B4713E"/>
    <w:rsid w:val="00B52AD9"/>
    <w:rsid w:val="00B539B0"/>
    <w:rsid w:val="00B75116"/>
    <w:rsid w:val="00B752F9"/>
    <w:rsid w:val="00B90E48"/>
    <w:rsid w:val="00BF7100"/>
    <w:rsid w:val="00C15D1A"/>
    <w:rsid w:val="00C52A2A"/>
    <w:rsid w:val="00C76F8E"/>
    <w:rsid w:val="00C86BA3"/>
    <w:rsid w:val="00C95C9F"/>
    <w:rsid w:val="00CA2B48"/>
    <w:rsid w:val="00CD7091"/>
    <w:rsid w:val="00CE6167"/>
    <w:rsid w:val="00CF010D"/>
    <w:rsid w:val="00D12CE0"/>
    <w:rsid w:val="00D31D4B"/>
    <w:rsid w:val="00D52A23"/>
    <w:rsid w:val="00D71F13"/>
    <w:rsid w:val="00DB69D5"/>
    <w:rsid w:val="00E04AA6"/>
    <w:rsid w:val="00E05303"/>
    <w:rsid w:val="00E11CF3"/>
    <w:rsid w:val="00E20C5A"/>
    <w:rsid w:val="00E429C1"/>
    <w:rsid w:val="00E52046"/>
    <w:rsid w:val="00E54202"/>
    <w:rsid w:val="00E7640D"/>
    <w:rsid w:val="00E9433F"/>
    <w:rsid w:val="00E95C88"/>
    <w:rsid w:val="00EA3517"/>
    <w:rsid w:val="00EA5F77"/>
    <w:rsid w:val="00ED740E"/>
    <w:rsid w:val="00EF0AD1"/>
    <w:rsid w:val="00F05247"/>
    <w:rsid w:val="00F25CF8"/>
    <w:rsid w:val="00F27378"/>
    <w:rsid w:val="00F310DC"/>
    <w:rsid w:val="00F37944"/>
    <w:rsid w:val="00F431F2"/>
    <w:rsid w:val="00F45C9B"/>
    <w:rsid w:val="00F4672C"/>
    <w:rsid w:val="00F519C6"/>
    <w:rsid w:val="00FA4190"/>
    <w:rsid w:val="00FA5A72"/>
    <w:rsid w:val="00FB65F1"/>
    <w:rsid w:val="00FF23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83CEE-10B8-43AB-8725-982BCCDA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2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F0AD1"/>
    <w:pPr>
      <w:ind w:left="720"/>
      <w:contextualSpacing/>
    </w:pPr>
  </w:style>
  <w:style w:type="character" w:customStyle="1" w:styleId="jnenbez">
    <w:name w:val="jnenbez"/>
    <w:basedOn w:val="Absatz-Standardschriftart"/>
    <w:rsid w:val="00EF0AD1"/>
  </w:style>
  <w:style w:type="character" w:customStyle="1" w:styleId="jnentitel">
    <w:name w:val="jnentitel"/>
    <w:basedOn w:val="Absatz-Standardschriftart"/>
    <w:rsid w:val="00EF0AD1"/>
  </w:style>
  <w:style w:type="paragraph" w:styleId="Kopfzeile">
    <w:name w:val="header"/>
    <w:basedOn w:val="Standard"/>
    <w:link w:val="KopfzeileZchn"/>
    <w:uiPriority w:val="99"/>
    <w:unhideWhenUsed/>
    <w:rsid w:val="003D75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75CE"/>
  </w:style>
  <w:style w:type="paragraph" w:styleId="Fuzeile">
    <w:name w:val="footer"/>
    <w:basedOn w:val="Standard"/>
    <w:link w:val="FuzeileZchn"/>
    <w:uiPriority w:val="99"/>
    <w:unhideWhenUsed/>
    <w:rsid w:val="003D75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75CE"/>
  </w:style>
  <w:style w:type="paragraph" w:styleId="StandardWeb">
    <w:name w:val="Normal (Web)"/>
    <w:basedOn w:val="Standard"/>
    <w:uiPriority w:val="99"/>
    <w:semiHidden/>
    <w:unhideWhenUsed/>
    <w:rsid w:val="00F310DC"/>
    <w:pPr>
      <w:spacing w:after="180" w:line="312" w:lineRule="atLeast"/>
    </w:pPr>
    <w:rPr>
      <w:rFonts w:ascii="Times New Roman" w:eastAsia="Times New Roman" w:hAnsi="Times New Roman" w:cs="Times New Roman"/>
      <w:color w:val="222222"/>
      <w:sz w:val="24"/>
      <w:szCs w:val="24"/>
      <w:lang w:eastAsia="de-DE"/>
    </w:rPr>
  </w:style>
  <w:style w:type="character" w:customStyle="1" w:styleId="itxtrst">
    <w:name w:val="itxtrst"/>
    <w:basedOn w:val="Absatz-Standardschriftart"/>
    <w:rsid w:val="00F310DC"/>
  </w:style>
  <w:style w:type="character" w:styleId="Fett">
    <w:name w:val="Strong"/>
    <w:basedOn w:val="Absatz-Standardschriftart"/>
    <w:uiPriority w:val="22"/>
    <w:qFormat/>
    <w:rsid w:val="00CA2B48"/>
    <w:rPr>
      <w:b/>
      <w:bCs/>
    </w:rPr>
  </w:style>
  <w:style w:type="character" w:styleId="IntensiverVerweis">
    <w:name w:val="Intense Reference"/>
    <w:basedOn w:val="Absatz-Standardschriftart"/>
    <w:uiPriority w:val="32"/>
    <w:qFormat/>
    <w:rsid w:val="00CA2B48"/>
    <w:rPr>
      <w:b/>
      <w:bCs/>
      <w:smallCaps/>
      <w:color w:val="5B9BD5" w:themeColor="accent1"/>
      <w:spacing w:val="5"/>
    </w:rPr>
  </w:style>
  <w:style w:type="character" w:styleId="Hyperlink">
    <w:name w:val="Hyperlink"/>
    <w:basedOn w:val="Absatz-Standardschriftart"/>
    <w:uiPriority w:val="99"/>
    <w:unhideWhenUsed/>
    <w:rsid w:val="00C95C9F"/>
    <w:rPr>
      <w:color w:val="0563C1" w:themeColor="hyperlink"/>
      <w:u w:val="single"/>
    </w:rPr>
  </w:style>
  <w:style w:type="paragraph" w:styleId="Sprechblasentext">
    <w:name w:val="Balloon Text"/>
    <w:basedOn w:val="Standard"/>
    <w:link w:val="SprechblasentextZchn"/>
    <w:uiPriority w:val="99"/>
    <w:semiHidden/>
    <w:unhideWhenUsed/>
    <w:rsid w:val="00993D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3DEB"/>
    <w:rPr>
      <w:rFonts w:ascii="Segoe UI" w:hAnsi="Segoe UI" w:cs="Segoe UI"/>
      <w:sz w:val="18"/>
      <w:szCs w:val="18"/>
    </w:rPr>
  </w:style>
  <w:style w:type="paragraph" w:styleId="Textkrper">
    <w:name w:val="Body Text"/>
    <w:basedOn w:val="Standard"/>
    <w:link w:val="TextkrperZchn"/>
    <w:rsid w:val="00CD7091"/>
    <w:pPr>
      <w:widowControl w:val="0"/>
      <w:overflowPunct w:val="0"/>
      <w:autoSpaceDE w:val="0"/>
      <w:autoSpaceDN w:val="0"/>
      <w:adjustRightInd w:val="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rsid w:val="00CD7091"/>
    <w:rPr>
      <w:rFonts w:eastAsia="Times New Roman" w:cs="Times New Roman"/>
      <w:szCs w:val="20"/>
      <w:lang w:eastAsia="de-DE"/>
    </w:rPr>
  </w:style>
  <w:style w:type="paragraph" w:customStyle="1" w:styleId="Default">
    <w:name w:val="Default"/>
    <w:rsid w:val="00292DB7"/>
    <w:pPr>
      <w:autoSpaceDE w:val="0"/>
      <w:autoSpaceDN w:val="0"/>
      <w:adjustRightInd w:val="0"/>
      <w:spacing w:after="0" w:line="240" w:lineRule="auto"/>
    </w:pPr>
    <w:rPr>
      <w:rFonts w:ascii="Century Gothic" w:hAnsi="Century Gothic" w:cs="Century Gothic"/>
      <w:color w:val="000000"/>
      <w:sz w:val="24"/>
      <w:szCs w:val="24"/>
    </w:rPr>
  </w:style>
  <w:style w:type="table" w:styleId="Tabellenraster">
    <w:name w:val="Table Grid"/>
    <w:basedOn w:val="NormaleTabelle"/>
    <w:uiPriority w:val="39"/>
    <w:rsid w:val="00780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82236">
      <w:bodyDiv w:val="1"/>
      <w:marLeft w:val="0"/>
      <w:marRight w:val="0"/>
      <w:marTop w:val="0"/>
      <w:marBottom w:val="0"/>
      <w:divBdr>
        <w:top w:val="none" w:sz="0" w:space="0" w:color="auto"/>
        <w:left w:val="none" w:sz="0" w:space="0" w:color="auto"/>
        <w:bottom w:val="none" w:sz="0" w:space="0" w:color="auto"/>
        <w:right w:val="none" w:sz="0" w:space="0" w:color="auto"/>
      </w:divBdr>
      <w:divsChild>
        <w:div w:id="2021734147">
          <w:marLeft w:val="0"/>
          <w:marRight w:val="0"/>
          <w:marTop w:val="0"/>
          <w:marBottom w:val="0"/>
          <w:divBdr>
            <w:top w:val="none" w:sz="0" w:space="0" w:color="auto"/>
            <w:left w:val="none" w:sz="0" w:space="0" w:color="auto"/>
            <w:bottom w:val="none" w:sz="0" w:space="0" w:color="auto"/>
            <w:right w:val="none" w:sz="0" w:space="0" w:color="auto"/>
          </w:divBdr>
          <w:divsChild>
            <w:div w:id="232736165">
              <w:marLeft w:val="0"/>
              <w:marRight w:val="0"/>
              <w:marTop w:val="0"/>
              <w:marBottom w:val="0"/>
              <w:divBdr>
                <w:top w:val="none" w:sz="0" w:space="0" w:color="auto"/>
                <w:left w:val="none" w:sz="0" w:space="0" w:color="auto"/>
                <w:bottom w:val="none" w:sz="0" w:space="0" w:color="auto"/>
                <w:right w:val="none" w:sz="0" w:space="0" w:color="auto"/>
              </w:divBdr>
              <w:divsChild>
                <w:div w:id="1332827959">
                  <w:marLeft w:val="0"/>
                  <w:marRight w:val="0"/>
                  <w:marTop w:val="0"/>
                  <w:marBottom w:val="0"/>
                  <w:divBdr>
                    <w:top w:val="none" w:sz="0" w:space="0" w:color="auto"/>
                    <w:left w:val="none" w:sz="0" w:space="0" w:color="auto"/>
                    <w:bottom w:val="none" w:sz="0" w:space="0" w:color="auto"/>
                    <w:right w:val="none" w:sz="0" w:space="0" w:color="auto"/>
                  </w:divBdr>
                  <w:divsChild>
                    <w:div w:id="1786150773">
                      <w:marLeft w:val="0"/>
                      <w:marRight w:val="0"/>
                      <w:marTop w:val="0"/>
                      <w:marBottom w:val="0"/>
                      <w:divBdr>
                        <w:top w:val="none" w:sz="0" w:space="0" w:color="auto"/>
                        <w:left w:val="none" w:sz="0" w:space="0" w:color="auto"/>
                        <w:bottom w:val="none" w:sz="0" w:space="0" w:color="auto"/>
                        <w:right w:val="none" w:sz="0" w:space="0" w:color="auto"/>
                      </w:divBdr>
                      <w:divsChild>
                        <w:div w:id="1773936221">
                          <w:marLeft w:val="0"/>
                          <w:marRight w:val="0"/>
                          <w:marTop w:val="0"/>
                          <w:marBottom w:val="0"/>
                          <w:divBdr>
                            <w:top w:val="none" w:sz="0" w:space="0" w:color="auto"/>
                            <w:left w:val="none" w:sz="0" w:space="0" w:color="auto"/>
                            <w:bottom w:val="none" w:sz="0" w:space="0" w:color="auto"/>
                            <w:right w:val="none" w:sz="0" w:space="0" w:color="auto"/>
                          </w:divBdr>
                        </w:div>
                        <w:div w:id="585264115">
                          <w:marLeft w:val="0"/>
                          <w:marRight w:val="0"/>
                          <w:marTop w:val="0"/>
                          <w:marBottom w:val="0"/>
                          <w:divBdr>
                            <w:top w:val="none" w:sz="0" w:space="0" w:color="auto"/>
                            <w:left w:val="none" w:sz="0" w:space="0" w:color="auto"/>
                            <w:bottom w:val="none" w:sz="0" w:space="0" w:color="auto"/>
                            <w:right w:val="none" w:sz="0" w:space="0" w:color="auto"/>
                          </w:divBdr>
                          <w:divsChild>
                            <w:div w:id="2051102003">
                              <w:marLeft w:val="0"/>
                              <w:marRight w:val="0"/>
                              <w:marTop w:val="0"/>
                              <w:marBottom w:val="0"/>
                              <w:divBdr>
                                <w:top w:val="none" w:sz="0" w:space="0" w:color="auto"/>
                                <w:left w:val="none" w:sz="0" w:space="0" w:color="auto"/>
                                <w:bottom w:val="none" w:sz="0" w:space="0" w:color="auto"/>
                                <w:right w:val="none" w:sz="0" w:space="0" w:color="auto"/>
                              </w:divBdr>
                              <w:divsChild>
                                <w:div w:id="1648588301">
                                  <w:marLeft w:val="0"/>
                                  <w:marRight w:val="0"/>
                                  <w:marTop w:val="0"/>
                                  <w:marBottom w:val="0"/>
                                  <w:divBdr>
                                    <w:top w:val="none" w:sz="0" w:space="0" w:color="auto"/>
                                    <w:left w:val="none" w:sz="0" w:space="0" w:color="auto"/>
                                    <w:bottom w:val="none" w:sz="0" w:space="0" w:color="auto"/>
                                    <w:right w:val="none" w:sz="0" w:space="0" w:color="auto"/>
                                  </w:divBdr>
                                  <w:divsChild>
                                    <w:div w:id="640119115">
                                      <w:marLeft w:val="0"/>
                                      <w:marRight w:val="0"/>
                                      <w:marTop w:val="0"/>
                                      <w:marBottom w:val="0"/>
                                      <w:divBdr>
                                        <w:top w:val="none" w:sz="0" w:space="0" w:color="auto"/>
                                        <w:left w:val="none" w:sz="0" w:space="0" w:color="auto"/>
                                        <w:bottom w:val="none" w:sz="0" w:space="0" w:color="auto"/>
                                        <w:right w:val="none" w:sz="0" w:space="0" w:color="auto"/>
                                      </w:divBdr>
                                      <w:divsChild>
                                        <w:div w:id="1431848727">
                                          <w:marLeft w:val="0"/>
                                          <w:marRight w:val="0"/>
                                          <w:marTop w:val="0"/>
                                          <w:marBottom w:val="0"/>
                                          <w:divBdr>
                                            <w:top w:val="none" w:sz="0" w:space="0" w:color="auto"/>
                                            <w:left w:val="none" w:sz="0" w:space="0" w:color="auto"/>
                                            <w:bottom w:val="none" w:sz="0" w:space="0" w:color="auto"/>
                                            <w:right w:val="none" w:sz="0" w:space="0" w:color="auto"/>
                                          </w:divBdr>
                                        </w:div>
                                        <w:div w:id="1531382448">
                                          <w:marLeft w:val="0"/>
                                          <w:marRight w:val="0"/>
                                          <w:marTop w:val="0"/>
                                          <w:marBottom w:val="0"/>
                                          <w:divBdr>
                                            <w:top w:val="none" w:sz="0" w:space="0" w:color="auto"/>
                                            <w:left w:val="none" w:sz="0" w:space="0" w:color="auto"/>
                                            <w:bottom w:val="none" w:sz="0" w:space="0" w:color="auto"/>
                                            <w:right w:val="none" w:sz="0" w:space="0" w:color="auto"/>
                                          </w:divBdr>
                                        </w:div>
                                        <w:div w:id="2082897593">
                                          <w:marLeft w:val="0"/>
                                          <w:marRight w:val="0"/>
                                          <w:marTop w:val="0"/>
                                          <w:marBottom w:val="0"/>
                                          <w:divBdr>
                                            <w:top w:val="none" w:sz="0" w:space="0" w:color="auto"/>
                                            <w:left w:val="none" w:sz="0" w:space="0" w:color="auto"/>
                                            <w:bottom w:val="none" w:sz="0" w:space="0" w:color="auto"/>
                                            <w:right w:val="none" w:sz="0" w:space="0" w:color="auto"/>
                                          </w:divBdr>
                                        </w:div>
                                        <w:div w:id="1069111545">
                                          <w:marLeft w:val="0"/>
                                          <w:marRight w:val="0"/>
                                          <w:marTop w:val="0"/>
                                          <w:marBottom w:val="0"/>
                                          <w:divBdr>
                                            <w:top w:val="none" w:sz="0" w:space="0" w:color="auto"/>
                                            <w:left w:val="none" w:sz="0" w:space="0" w:color="auto"/>
                                            <w:bottom w:val="none" w:sz="0" w:space="0" w:color="auto"/>
                                            <w:right w:val="none" w:sz="0" w:space="0" w:color="auto"/>
                                          </w:divBdr>
                                        </w:div>
                                        <w:div w:id="1878665081">
                                          <w:marLeft w:val="0"/>
                                          <w:marRight w:val="0"/>
                                          <w:marTop w:val="0"/>
                                          <w:marBottom w:val="0"/>
                                          <w:divBdr>
                                            <w:top w:val="none" w:sz="0" w:space="0" w:color="auto"/>
                                            <w:left w:val="none" w:sz="0" w:space="0" w:color="auto"/>
                                            <w:bottom w:val="none" w:sz="0" w:space="0" w:color="auto"/>
                                            <w:right w:val="none" w:sz="0" w:space="0" w:color="auto"/>
                                          </w:divBdr>
                                        </w:div>
                                        <w:div w:id="1496728437">
                                          <w:marLeft w:val="0"/>
                                          <w:marRight w:val="0"/>
                                          <w:marTop w:val="0"/>
                                          <w:marBottom w:val="0"/>
                                          <w:divBdr>
                                            <w:top w:val="none" w:sz="0" w:space="0" w:color="auto"/>
                                            <w:left w:val="none" w:sz="0" w:space="0" w:color="auto"/>
                                            <w:bottom w:val="none" w:sz="0" w:space="0" w:color="auto"/>
                                            <w:right w:val="none" w:sz="0" w:space="0" w:color="auto"/>
                                          </w:divBdr>
                                        </w:div>
                                        <w:div w:id="2051682468">
                                          <w:marLeft w:val="0"/>
                                          <w:marRight w:val="0"/>
                                          <w:marTop w:val="0"/>
                                          <w:marBottom w:val="0"/>
                                          <w:divBdr>
                                            <w:top w:val="none" w:sz="0" w:space="0" w:color="auto"/>
                                            <w:left w:val="none" w:sz="0" w:space="0" w:color="auto"/>
                                            <w:bottom w:val="none" w:sz="0" w:space="0" w:color="auto"/>
                                            <w:right w:val="none" w:sz="0" w:space="0" w:color="auto"/>
                                          </w:divBdr>
                                        </w:div>
                                        <w:div w:id="333145371">
                                          <w:marLeft w:val="0"/>
                                          <w:marRight w:val="0"/>
                                          <w:marTop w:val="0"/>
                                          <w:marBottom w:val="0"/>
                                          <w:divBdr>
                                            <w:top w:val="none" w:sz="0" w:space="0" w:color="auto"/>
                                            <w:left w:val="none" w:sz="0" w:space="0" w:color="auto"/>
                                            <w:bottom w:val="none" w:sz="0" w:space="0" w:color="auto"/>
                                            <w:right w:val="none" w:sz="0" w:space="0" w:color="auto"/>
                                          </w:divBdr>
                                        </w:div>
                                        <w:div w:id="439840653">
                                          <w:marLeft w:val="0"/>
                                          <w:marRight w:val="0"/>
                                          <w:marTop w:val="0"/>
                                          <w:marBottom w:val="0"/>
                                          <w:divBdr>
                                            <w:top w:val="none" w:sz="0" w:space="0" w:color="auto"/>
                                            <w:left w:val="none" w:sz="0" w:space="0" w:color="auto"/>
                                            <w:bottom w:val="none" w:sz="0" w:space="0" w:color="auto"/>
                                            <w:right w:val="none" w:sz="0" w:space="0" w:color="auto"/>
                                          </w:divBdr>
                                          <w:divsChild>
                                            <w:div w:id="1873490428">
                                              <w:marLeft w:val="0"/>
                                              <w:marRight w:val="0"/>
                                              <w:marTop w:val="0"/>
                                              <w:marBottom w:val="0"/>
                                              <w:divBdr>
                                                <w:top w:val="none" w:sz="0" w:space="0" w:color="auto"/>
                                                <w:left w:val="none" w:sz="0" w:space="0" w:color="auto"/>
                                                <w:bottom w:val="none" w:sz="0" w:space="0" w:color="auto"/>
                                                <w:right w:val="none" w:sz="0" w:space="0" w:color="auto"/>
                                              </w:divBdr>
                                            </w:div>
                                            <w:div w:id="931012414">
                                              <w:marLeft w:val="0"/>
                                              <w:marRight w:val="0"/>
                                              <w:marTop w:val="0"/>
                                              <w:marBottom w:val="0"/>
                                              <w:divBdr>
                                                <w:top w:val="none" w:sz="0" w:space="0" w:color="auto"/>
                                                <w:left w:val="none" w:sz="0" w:space="0" w:color="auto"/>
                                                <w:bottom w:val="none" w:sz="0" w:space="0" w:color="auto"/>
                                                <w:right w:val="none" w:sz="0" w:space="0" w:color="auto"/>
                                              </w:divBdr>
                                            </w:div>
                                            <w:div w:id="7989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826511">
      <w:bodyDiv w:val="1"/>
      <w:marLeft w:val="0"/>
      <w:marRight w:val="0"/>
      <w:marTop w:val="0"/>
      <w:marBottom w:val="0"/>
      <w:divBdr>
        <w:top w:val="none" w:sz="0" w:space="0" w:color="auto"/>
        <w:left w:val="none" w:sz="0" w:space="0" w:color="auto"/>
        <w:bottom w:val="none" w:sz="0" w:space="0" w:color="auto"/>
        <w:right w:val="none" w:sz="0" w:space="0" w:color="auto"/>
      </w:divBdr>
    </w:div>
    <w:div w:id="500505376">
      <w:bodyDiv w:val="1"/>
      <w:marLeft w:val="0"/>
      <w:marRight w:val="0"/>
      <w:marTop w:val="0"/>
      <w:marBottom w:val="0"/>
      <w:divBdr>
        <w:top w:val="none" w:sz="0" w:space="0" w:color="auto"/>
        <w:left w:val="none" w:sz="0" w:space="0" w:color="auto"/>
        <w:bottom w:val="none" w:sz="0" w:space="0" w:color="auto"/>
        <w:right w:val="none" w:sz="0" w:space="0" w:color="auto"/>
      </w:divBdr>
    </w:div>
    <w:div w:id="553467336">
      <w:bodyDiv w:val="1"/>
      <w:marLeft w:val="0"/>
      <w:marRight w:val="0"/>
      <w:marTop w:val="0"/>
      <w:marBottom w:val="0"/>
      <w:divBdr>
        <w:top w:val="none" w:sz="0" w:space="0" w:color="auto"/>
        <w:left w:val="none" w:sz="0" w:space="0" w:color="auto"/>
        <w:bottom w:val="none" w:sz="0" w:space="0" w:color="auto"/>
        <w:right w:val="none" w:sz="0" w:space="0" w:color="auto"/>
      </w:divBdr>
    </w:div>
    <w:div w:id="810484998">
      <w:bodyDiv w:val="1"/>
      <w:marLeft w:val="0"/>
      <w:marRight w:val="0"/>
      <w:marTop w:val="0"/>
      <w:marBottom w:val="0"/>
      <w:divBdr>
        <w:top w:val="none" w:sz="0" w:space="0" w:color="auto"/>
        <w:left w:val="none" w:sz="0" w:space="0" w:color="auto"/>
        <w:bottom w:val="none" w:sz="0" w:space="0" w:color="auto"/>
        <w:right w:val="none" w:sz="0" w:space="0" w:color="auto"/>
      </w:divBdr>
    </w:div>
    <w:div w:id="1130049862">
      <w:bodyDiv w:val="1"/>
      <w:marLeft w:val="0"/>
      <w:marRight w:val="0"/>
      <w:marTop w:val="0"/>
      <w:marBottom w:val="0"/>
      <w:divBdr>
        <w:top w:val="none" w:sz="0" w:space="0" w:color="auto"/>
        <w:left w:val="none" w:sz="0" w:space="0" w:color="auto"/>
        <w:bottom w:val="none" w:sz="0" w:space="0" w:color="auto"/>
        <w:right w:val="none" w:sz="0" w:space="0" w:color="auto"/>
      </w:divBdr>
      <w:divsChild>
        <w:div w:id="1496338946">
          <w:marLeft w:val="0"/>
          <w:marRight w:val="0"/>
          <w:marTop w:val="0"/>
          <w:marBottom w:val="0"/>
          <w:divBdr>
            <w:top w:val="none" w:sz="0" w:space="0" w:color="auto"/>
            <w:left w:val="none" w:sz="0" w:space="0" w:color="auto"/>
            <w:bottom w:val="none" w:sz="0" w:space="0" w:color="auto"/>
            <w:right w:val="none" w:sz="0" w:space="0" w:color="auto"/>
          </w:divBdr>
          <w:divsChild>
            <w:div w:id="275677085">
              <w:marLeft w:val="0"/>
              <w:marRight w:val="0"/>
              <w:marTop w:val="0"/>
              <w:marBottom w:val="0"/>
              <w:divBdr>
                <w:top w:val="none" w:sz="0" w:space="0" w:color="auto"/>
                <w:left w:val="none" w:sz="0" w:space="0" w:color="auto"/>
                <w:bottom w:val="none" w:sz="0" w:space="0" w:color="auto"/>
                <w:right w:val="none" w:sz="0" w:space="0" w:color="auto"/>
              </w:divBdr>
              <w:divsChild>
                <w:div w:id="67858699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289817040">
      <w:bodyDiv w:val="1"/>
      <w:marLeft w:val="0"/>
      <w:marRight w:val="0"/>
      <w:marTop w:val="0"/>
      <w:marBottom w:val="0"/>
      <w:divBdr>
        <w:top w:val="none" w:sz="0" w:space="0" w:color="auto"/>
        <w:left w:val="none" w:sz="0" w:space="0" w:color="auto"/>
        <w:bottom w:val="none" w:sz="0" w:space="0" w:color="auto"/>
        <w:right w:val="none" w:sz="0" w:space="0" w:color="auto"/>
      </w:divBdr>
      <w:divsChild>
        <w:div w:id="1907494807">
          <w:marLeft w:val="0"/>
          <w:marRight w:val="0"/>
          <w:marTop w:val="0"/>
          <w:marBottom w:val="240"/>
          <w:divBdr>
            <w:top w:val="none" w:sz="0" w:space="0" w:color="auto"/>
            <w:left w:val="none" w:sz="0" w:space="0" w:color="auto"/>
            <w:bottom w:val="none" w:sz="0" w:space="0" w:color="auto"/>
            <w:right w:val="none" w:sz="0" w:space="0" w:color="auto"/>
          </w:divBdr>
        </w:div>
        <w:div w:id="411317103">
          <w:marLeft w:val="0"/>
          <w:marRight w:val="0"/>
          <w:marTop w:val="0"/>
          <w:marBottom w:val="240"/>
          <w:divBdr>
            <w:top w:val="none" w:sz="0" w:space="0" w:color="auto"/>
            <w:left w:val="none" w:sz="0" w:space="0" w:color="auto"/>
            <w:bottom w:val="none" w:sz="0" w:space="0" w:color="auto"/>
            <w:right w:val="none" w:sz="0" w:space="0" w:color="auto"/>
          </w:divBdr>
        </w:div>
        <w:div w:id="2099010488">
          <w:marLeft w:val="0"/>
          <w:marRight w:val="0"/>
          <w:marTop w:val="0"/>
          <w:marBottom w:val="240"/>
          <w:divBdr>
            <w:top w:val="none" w:sz="0" w:space="0" w:color="auto"/>
            <w:left w:val="none" w:sz="0" w:space="0" w:color="auto"/>
            <w:bottom w:val="none" w:sz="0" w:space="0" w:color="auto"/>
            <w:right w:val="none" w:sz="0" w:space="0" w:color="auto"/>
          </w:divBdr>
        </w:div>
        <w:div w:id="690496121">
          <w:marLeft w:val="0"/>
          <w:marRight w:val="0"/>
          <w:marTop w:val="0"/>
          <w:marBottom w:val="240"/>
          <w:divBdr>
            <w:top w:val="none" w:sz="0" w:space="0" w:color="auto"/>
            <w:left w:val="none" w:sz="0" w:space="0" w:color="auto"/>
            <w:bottom w:val="none" w:sz="0" w:space="0" w:color="auto"/>
            <w:right w:val="none" w:sz="0" w:space="0" w:color="auto"/>
          </w:divBdr>
        </w:div>
        <w:div w:id="792481573">
          <w:marLeft w:val="0"/>
          <w:marRight w:val="0"/>
          <w:marTop w:val="0"/>
          <w:marBottom w:val="240"/>
          <w:divBdr>
            <w:top w:val="none" w:sz="0" w:space="0" w:color="auto"/>
            <w:left w:val="none" w:sz="0" w:space="0" w:color="auto"/>
            <w:bottom w:val="none" w:sz="0" w:space="0" w:color="auto"/>
            <w:right w:val="none" w:sz="0" w:space="0" w:color="auto"/>
          </w:divBdr>
        </w:div>
      </w:divsChild>
    </w:div>
    <w:div w:id="130902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uerwesen@erzbistum-paderbor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5490-251B-415B-B044-FC1C0195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2239</Words>
  <Characters>14111</Characters>
  <Application>Microsoft Office Word</Application>
  <DocSecurity>4</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Schulte</dc:creator>
  <cp:keywords/>
  <dc:description/>
  <cp:lastModifiedBy>Nadine Kuepke</cp:lastModifiedBy>
  <cp:revision>2</cp:revision>
  <cp:lastPrinted>2016-08-31T07:57:00Z</cp:lastPrinted>
  <dcterms:created xsi:type="dcterms:W3CDTF">2020-03-23T08:29:00Z</dcterms:created>
  <dcterms:modified xsi:type="dcterms:W3CDTF">2020-03-23T08:29:00Z</dcterms:modified>
</cp:coreProperties>
</file>