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8B2FD1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E06F5" wp14:editId="12CDAA3E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333750"/>
                <wp:effectExtent l="0" t="0" r="28575" b="33020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333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 w:rsidR="007B5F98">
                              <w:t xml:space="preserve"> Kapitel B.4.2.3</w:t>
                            </w:r>
                            <w:r w:rsidR="00912B79">
                              <w:t xml:space="preserve"> | Stand: </w:t>
                            </w:r>
                            <w:r w:rsidR="00E73C2B">
                              <w:t>30.11.2015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8B2FD1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Aufbewahrungsfristen</w:t>
                                  </w:r>
                                </w:p>
                                <w:p w:rsidR="00B75F0A" w:rsidRPr="00B75F0A" w:rsidRDefault="00B75F0A" w:rsidP="00476176">
                                  <w:pPr>
                                    <w:pStyle w:val="berschrift2"/>
                                    <w:outlineLvl w:val="1"/>
                                  </w:pPr>
                                </w:p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A8256EE" wp14:editId="354DC081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8B2FD1" w:rsidRPr="00E67499" w:rsidRDefault="008B2FD1" w:rsidP="008B2FD1">
                            <w:pPr>
                              <w:pStyle w:val="KeinLeerraum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6749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Alle Mitarbeitenden im </w:t>
                            </w:r>
                            <w:proofErr w:type="spellStart"/>
                            <w:r w:rsidRPr="00E67499">
                              <w:rPr>
                                <w:b/>
                                <w:sz w:val="20"/>
                                <w:szCs w:val="20"/>
                              </w:rPr>
                              <w:t>Pastoralen</w:t>
                            </w:r>
                            <w:proofErr w:type="spellEnd"/>
                            <w:r w:rsidRPr="00E6749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Raum kennen die Aufbewahrungsfristen für Schriftgut.</w:t>
                            </w:r>
                          </w:p>
                          <w:p w:rsidR="0002278F" w:rsidRPr="00E67499" w:rsidRDefault="0002278F">
                            <w:pPr>
                              <w:rPr>
                                <w:rStyle w:val="Fett"/>
                                <w:szCs w:val="20"/>
                              </w:rPr>
                            </w:pP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8B2FD1" w:rsidRPr="00E67499" w:rsidRDefault="008B2FD1" w:rsidP="008B2FD1">
                            <w:pPr>
                              <w:pStyle w:val="KeinLeerraum"/>
                              <w:rPr>
                                <w:sz w:val="20"/>
                                <w:szCs w:val="20"/>
                              </w:rPr>
                            </w:pPr>
                            <w:r w:rsidRPr="00E67499">
                              <w:rPr>
                                <w:bCs/>
                                <w:sz w:val="20"/>
                                <w:szCs w:val="20"/>
                              </w:rPr>
                              <w:t>Aufbewahrungsfrist</w:t>
                            </w:r>
                            <w:r w:rsidRPr="00E67499">
                              <w:rPr>
                                <w:sz w:val="20"/>
                                <w:szCs w:val="20"/>
                              </w:rPr>
                              <w:t xml:space="preserve"> ist der Zeitraum, innerhalb dessen </w:t>
                            </w:r>
                            <w:hyperlink r:id="rId9" w:tooltip="Aufbewahrungspflicht" w:history="1">
                              <w:r w:rsidRPr="00E67499">
                                <w:rPr>
                                  <w:rStyle w:val="Hyperlink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aufbewahrungspflichtige</w:t>
                              </w:r>
                            </w:hyperlink>
                            <w:r w:rsidRPr="00E6749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0" w:tooltip="Schriftstück" w:history="1">
                              <w:r w:rsidRPr="00E67499">
                                <w:rPr>
                                  <w:rStyle w:val="Hyperlink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Schriftstücke</w:t>
                              </w:r>
                            </w:hyperlink>
                            <w:r w:rsidRPr="00E67499">
                              <w:rPr>
                                <w:sz w:val="20"/>
                                <w:szCs w:val="20"/>
                              </w:rPr>
                              <w:t xml:space="preserve"> geordnet </w:t>
                            </w:r>
                            <w:r w:rsidR="0040347B">
                              <w:rPr>
                                <w:sz w:val="20"/>
                                <w:szCs w:val="20"/>
                              </w:rPr>
                              <w:t>aufbewahrt</w:t>
                            </w:r>
                            <w:r w:rsidRPr="00E67499">
                              <w:rPr>
                                <w:sz w:val="20"/>
                                <w:szCs w:val="20"/>
                              </w:rPr>
                              <w:t xml:space="preserve"> werden müssen. Aufbewahrungsfirsten kommen i.d.R. aus dem staatlichen Recht und müssen beachtet werden. Die aufbewahrten Schriftstücke dienen u.a. der Rechtssicherheit.</w:t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E06F5" id="AutoForm 14" o:spid="_x0000_s1026" style="position:absolute;margin-left:-2.55pt;margin-top:.2pt;width:455.25pt;height:2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 w:rsidR="007B5F98">
                        <w:t xml:space="preserve"> Kapitel B.4.2.3</w:t>
                      </w:r>
                      <w:r w:rsidR="00912B79">
                        <w:t xml:space="preserve"> | Stand: </w:t>
                      </w:r>
                      <w:r w:rsidR="00E73C2B">
                        <w:t>30.11.2015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8B2FD1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Aufbewahrungsfristen</w:t>
                            </w:r>
                          </w:p>
                          <w:p w:rsidR="00B75F0A" w:rsidRPr="00B75F0A" w:rsidRDefault="00B75F0A" w:rsidP="00476176">
                            <w:pPr>
                              <w:pStyle w:val="berschrift2"/>
                              <w:outlineLvl w:val="1"/>
                            </w:pPr>
                          </w:p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A8256EE" wp14:editId="354DC081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8B2FD1" w:rsidRPr="00E67499" w:rsidRDefault="008B2FD1" w:rsidP="008B2FD1">
                      <w:pPr>
                        <w:pStyle w:val="KeinLeerraum"/>
                        <w:rPr>
                          <w:b/>
                          <w:sz w:val="20"/>
                          <w:szCs w:val="20"/>
                        </w:rPr>
                      </w:pPr>
                      <w:r w:rsidRPr="00E67499">
                        <w:rPr>
                          <w:b/>
                          <w:sz w:val="20"/>
                          <w:szCs w:val="20"/>
                        </w:rPr>
                        <w:t xml:space="preserve">Alle Mitarbeitenden im </w:t>
                      </w:r>
                      <w:proofErr w:type="spellStart"/>
                      <w:r w:rsidRPr="00E67499">
                        <w:rPr>
                          <w:b/>
                          <w:sz w:val="20"/>
                          <w:szCs w:val="20"/>
                        </w:rPr>
                        <w:t>Pastoralen</w:t>
                      </w:r>
                      <w:proofErr w:type="spellEnd"/>
                      <w:r w:rsidRPr="00E67499">
                        <w:rPr>
                          <w:b/>
                          <w:sz w:val="20"/>
                          <w:szCs w:val="20"/>
                        </w:rPr>
                        <w:t xml:space="preserve"> Raum kennen die Aufbewahrungsfristen für Schriftgut.</w:t>
                      </w:r>
                    </w:p>
                    <w:p w:rsidR="0002278F" w:rsidRPr="00E67499" w:rsidRDefault="0002278F">
                      <w:pPr>
                        <w:rPr>
                          <w:rStyle w:val="Fett"/>
                          <w:szCs w:val="20"/>
                        </w:rPr>
                      </w:pP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8B2FD1" w:rsidRPr="00E67499" w:rsidRDefault="008B2FD1" w:rsidP="008B2FD1">
                      <w:pPr>
                        <w:pStyle w:val="KeinLeerraum"/>
                        <w:rPr>
                          <w:sz w:val="20"/>
                          <w:szCs w:val="20"/>
                        </w:rPr>
                      </w:pPr>
                      <w:r w:rsidRPr="00E67499">
                        <w:rPr>
                          <w:bCs/>
                          <w:sz w:val="20"/>
                          <w:szCs w:val="20"/>
                        </w:rPr>
                        <w:t>Aufbewahrungsfrist</w:t>
                      </w:r>
                      <w:r w:rsidRPr="00E67499">
                        <w:rPr>
                          <w:sz w:val="20"/>
                          <w:szCs w:val="20"/>
                        </w:rPr>
                        <w:t xml:space="preserve"> ist der Zeitraum, innerhalb dessen </w:t>
                      </w:r>
                      <w:hyperlink r:id="rId11" w:tooltip="Aufbewahrungspflicht" w:history="1">
                        <w:r w:rsidRPr="00E67499">
                          <w:rPr>
                            <w:rStyle w:val="Hyperlink"/>
                            <w:color w:val="auto"/>
                            <w:sz w:val="20"/>
                            <w:szCs w:val="20"/>
                            <w:u w:val="none"/>
                          </w:rPr>
                          <w:t>aufbewahrungspflichtige</w:t>
                        </w:r>
                      </w:hyperlink>
                      <w:r w:rsidRPr="00E67499"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r:id="rId12" w:tooltip="Schriftstück" w:history="1">
                        <w:r w:rsidRPr="00E67499">
                          <w:rPr>
                            <w:rStyle w:val="Hyperlink"/>
                            <w:color w:val="auto"/>
                            <w:sz w:val="20"/>
                            <w:szCs w:val="20"/>
                            <w:u w:val="none"/>
                          </w:rPr>
                          <w:t>Schriftstücke</w:t>
                        </w:r>
                      </w:hyperlink>
                      <w:r w:rsidRPr="00E67499">
                        <w:rPr>
                          <w:sz w:val="20"/>
                          <w:szCs w:val="20"/>
                        </w:rPr>
                        <w:t xml:space="preserve"> geordnet </w:t>
                      </w:r>
                      <w:r w:rsidR="0040347B">
                        <w:rPr>
                          <w:sz w:val="20"/>
                          <w:szCs w:val="20"/>
                        </w:rPr>
                        <w:t>aufbewahrt</w:t>
                      </w:r>
                      <w:r w:rsidRPr="00E67499">
                        <w:rPr>
                          <w:sz w:val="20"/>
                          <w:szCs w:val="20"/>
                        </w:rPr>
                        <w:t xml:space="preserve"> werden müssen. Aufbewahrungsfirsten kommen i.d.R. aus dem staatlichen Recht und müssen beachtet werden. Die aufbewahrten Schriftstücke dienen u.a. der Rechtssicherheit.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0F01D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0FB505" wp14:editId="01A073E9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0FB505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7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</w:p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476176" w:rsidRDefault="00476176" w:rsidP="008B2FD1">
      <w:pPr>
        <w:pStyle w:val="KeinLeerraum"/>
      </w:pPr>
    </w:p>
    <w:p w:rsidR="008B2FD1" w:rsidRPr="00E67499" w:rsidRDefault="008B2FD1" w:rsidP="008B2FD1">
      <w:pPr>
        <w:pStyle w:val="KeinLeerraum"/>
        <w:rPr>
          <w:sz w:val="20"/>
          <w:szCs w:val="20"/>
        </w:rPr>
      </w:pPr>
      <w:r w:rsidRPr="00E67499">
        <w:rPr>
          <w:sz w:val="20"/>
          <w:szCs w:val="20"/>
        </w:rPr>
        <w:t xml:space="preserve">Ist eine Aufbewahrungsfrist abgelaufen, heißt das nicht, dass das Schriftstück oder die Akte vernichtet werden kann. Nach Ablauf der Aufbewahrungsfrist findet die Prüfung statt, ob ein Schriftstück archivwürdig ist. Nur </w:t>
      </w:r>
      <w:r w:rsidRPr="00E67499">
        <w:rPr>
          <w:b/>
          <w:sz w:val="20"/>
          <w:szCs w:val="20"/>
        </w:rPr>
        <w:t>nicht archivwürdige Schriftstücke oder Unterlagen</w:t>
      </w:r>
      <w:r w:rsidRPr="00E67499">
        <w:rPr>
          <w:sz w:val="20"/>
          <w:szCs w:val="20"/>
        </w:rPr>
        <w:t xml:space="preserve"> dürfen vernichtet (kassiert) werden.</w:t>
      </w:r>
    </w:p>
    <w:p w:rsidR="008B2FD1" w:rsidRDefault="008B2FD1" w:rsidP="008B2FD1">
      <w:pPr>
        <w:pStyle w:val="KeinLeerraum"/>
      </w:pPr>
    </w:p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362575" cy="487044"/>
                <wp:effectExtent l="0" t="0" r="28575" b="1143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6176" w:rsidRDefault="00476176"/>
                          <w:p w:rsidR="00074A02" w:rsidRDefault="00074A0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width:422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">
                <v:textbox style="mso-fit-shape-to-text:t">
                  <w:txbxContent>
                    <w:p w:rsidR="00476176" w:rsidRDefault="00476176"/>
                    <w:p w:rsidR="00074A02" w:rsidRDefault="00074A02"/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CD5377"/>
    <w:p w:rsidR="006C5A47" w:rsidRDefault="000A107A" w:rsidP="006C5A47">
      <w:pPr>
        <w:pStyle w:val="berschrift2"/>
      </w:pPr>
      <w:r>
        <w:sym w:font="Wingdings" w:char="F06E"/>
      </w:r>
      <w:r>
        <w:t xml:space="preserve"> </w:t>
      </w:r>
      <w:r w:rsidR="006C5A47">
        <w:t>Weitere Informationen:</w:t>
      </w:r>
    </w:p>
    <w:p w:rsidR="00476176" w:rsidRPr="00476176" w:rsidRDefault="00476176" w:rsidP="00476176"/>
    <w:p w:rsidR="00476176" w:rsidRPr="00E67499" w:rsidRDefault="00476176" w:rsidP="00476176">
      <w:pPr>
        <w:spacing w:after="0"/>
        <w:rPr>
          <w:b/>
          <w:szCs w:val="20"/>
        </w:rPr>
      </w:pPr>
      <w:r w:rsidRPr="00E67499">
        <w:rPr>
          <w:b/>
          <w:szCs w:val="20"/>
        </w:rPr>
        <w:t>Übersicht über Aufbewahrungsfristen</w:t>
      </w:r>
    </w:p>
    <w:p w:rsidR="00476176" w:rsidRPr="00E67499" w:rsidRDefault="00476176" w:rsidP="00476176">
      <w:pPr>
        <w:spacing w:after="0"/>
        <w:rPr>
          <w:b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71"/>
        <w:gridCol w:w="5223"/>
      </w:tblGrid>
      <w:tr w:rsidR="00476176" w:rsidRPr="00E67499" w:rsidTr="00E73C2B">
        <w:tc>
          <w:tcPr>
            <w:tcW w:w="3271" w:type="dxa"/>
          </w:tcPr>
          <w:p w:rsidR="00476176" w:rsidRPr="00E67499" w:rsidRDefault="00476176" w:rsidP="00476176">
            <w:pPr>
              <w:spacing w:after="0"/>
              <w:rPr>
                <w:b/>
                <w:szCs w:val="20"/>
              </w:rPr>
            </w:pPr>
            <w:r w:rsidRPr="00E67499">
              <w:rPr>
                <w:b/>
                <w:szCs w:val="20"/>
              </w:rPr>
              <w:t>Schriftgut</w:t>
            </w:r>
          </w:p>
        </w:tc>
        <w:tc>
          <w:tcPr>
            <w:tcW w:w="5223" w:type="dxa"/>
          </w:tcPr>
          <w:p w:rsidR="00476176" w:rsidRPr="00E67499" w:rsidRDefault="00476176" w:rsidP="00476176">
            <w:pPr>
              <w:spacing w:after="0"/>
              <w:rPr>
                <w:b/>
                <w:szCs w:val="20"/>
              </w:rPr>
            </w:pPr>
            <w:r w:rsidRPr="00E67499">
              <w:rPr>
                <w:b/>
                <w:szCs w:val="20"/>
              </w:rPr>
              <w:t>Aufbewahrungsfrist</w:t>
            </w:r>
          </w:p>
        </w:tc>
      </w:tr>
      <w:tr w:rsidR="00476176" w:rsidRPr="00E67499" w:rsidTr="00E73C2B">
        <w:tc>
          <w:tcPr>
            <w:tcW w:w="3271" w:type="dxa"/>
          </w:tcPr>
          <w:p w:rsidR="00476176" w:rsidRPr="00E67499" w:rsidRDefault="00476176" w:rsidP="00476176">
            <w:pPr>
              <w:spacing w:after="0"/>
              <w:rPr>
                <w:szCs w:val="20"/>
              </w:rPr>
            </w:pPr>
            <w:r w:rsidRPr="00E67499">
              <w:rPr>
                <w:szCs w:val="20"/>
              </w:rPr>
              <w:t>Bestände von 1950 und früher</w:t>
            </w:r>
          </w:p>
          <w:p w:rsidR="00476176" w:rsidRPr="00E67499" w:rsidRDefault="00476176" w:rsidP="00476176">
            <w:pPr>
              <w:spacing w:after="0"/>
              <w:rPr>
                <w:b/>
                <w:szCs w:val="20"/>
              </w:rPr>
            </w:pPr>
          </w:p>
        </w:tc>
        <w:tc>
          <w:tcPr>
            <w:tcW w:w="5223" w:type="dxa"/>
          </w:tcPr>
          <w:p w:rsidR="00476176" w:rsidRPr="00E67499" w:rsidRDefault="00476176" w:rsidP="00476176">
            <w:pPr>
              <w:spacing w:after="0"/>
              <w:rPr>
                <w:szCs w:val="20"/>
              </w:rPr>
            </w:pPr>
            <w:r w:rsidRPr="00E67499">
              <w:rPr>
                <w:b/>
                <w:szCs w:val="20"/>
              </w:rPr>
              <w:t>Dauerhaft</w:t>
            </w:r>
            <w:r w:rsidRPr="00E67499">
              <w:rPr>
                <w:szCs w:val="20"/>
              </w:rPr>
              <w:t xml:space="preserve"> aufzubewahren</w:t>
            </w:r>
          </w:p>
          <w:p w:rsidR="00476176" w:rsidRPr="00E67499" w:rsidRDefault="00476176" w:rsidP="00476176">
            <w:pPr>
              <w:spacing w:after="0"/>
              <w:rPr>
                <w:b/>
                <w:szCs w:val="20"/>
              </w:rPr>
            </w:pPr>
            <w:r w:rsidRPr="00E67499">
              <w:rPr>
                <w:szCs w:val="20"/>
              </w:rPr>
              <w:t>Alles noch erhaltene Material aus dieser Zeit ist für die Dokumentation dieser Epoche erforderlich</w:t>
            </w:r>
            <w:r w:rsidR="00074A02">
              <w:rPr>
                <w:szCs w:val="20"/>
              </w:rPr>
              <w:t xml:space="preserve"> und</w:t>
            </w:r>
            <w:r w:rsidRPr="00E67499">
              <w:rPr>
                <w:szCs w:val="20"/>
              </w:rPr>
              <w:t xml:space="preserve"> muss deshalb erhalten werden.</w:t>
            </w:r>
          </w:p>
        </w:tc>
      </w:tr>
      <w:tr w:rsidR="00476176" w:rsidRPr="00E67499" w:rsidTr="00E73C2B">
        <w:tc>
          <w:tcPr>
            <w:tcW w:w="3271" w:type="dxa"/>
          </w:tcPr>
          <w:p w:rsidR="00476176" w:rsidRPr="00E67499" w:rsidRDefault="00476176" w:rsidP="00476176">
            <w:pPr>
              <w:spacing w:after="0"/>
              <w:rPr>
                <w:szCs w:val="20"/>
              </w:rPr>
            </w:pPr>
            <w:r w:rsidRPr="00E67499">
              <w:rPr>
                <w:szCs w:val="20"/>
              </w:rPr>
              <w:t>Kirchenbücher</w:t>
            </w:r>
          </w:p>
          <w:p w:rsidR="00476176" w:rsidRPr="00E67499" w:rsidRDefault="00476176" w:rsidP="00476176">
            <w:pPr>
              <w:spacing w:after="0"/>
              <w:rPr>
                <w:szCs w:val="20"/>
              </w:rPr>
            </w:pPr>
          </w:p>
        </w:tc>
        <w:tc>
          <w:tcPr>
            <w:tcW w:w="5223" w:type="dxa"/>
          </w:tcPr>
          <w:p w:rsidR="00476176" w:rsidRPr="00E67499" w:rsidRDefault="00476176" w:rsidP="00476176">
            <w:pPr>
              <w:spacing w:after="0"/>
              <w:rPr>
                <w:szCs w:val="20"/>
              </w:rPr>
            </w:pPr>
            <w:r w:rsidRPr="00E67499">
              <w:rPr>
                <w:b/>
                <w:szCs w:val="20"/>
              </w:rPr>
              <w:t>Dauerhaft</w:t>
            </w:r>
            <w:r w:rsidRPr="00E67499">
              <w:rPr>
                <w:szCs w:val="20"/>
              </w:rPr>
              <w:t xml:space="preserve"> aufzubewahren</w:t>
            </w:r>
          </w:p>
        </w:tc>
      </w:tr>
      <w:tr w:rsidR="00476176" w:rsidRPr="00E67499" w:rsidTr="00E73C2B">
        <w:tc>
          <w:tcPr>
            <w:tcW w:w="3271" w:type="dxa"/>
          </w:tcPr>
          <w:p w:rsidR="00476176" w:rsidRPr="00E67499" w:rsidRDefault="00476176" w:rsidP="00476176">
            <w:pPr>
              <w:spacing w:after="0"/>
              <w:rPr>
                <w:szCs w:val="20"/>
              </w:rPr>
            </w:pPr>
            <w:r w:rsidRPr="00E67499">
              <w:rPr>
                <w:szCs w:val="20"/>
              </w:rPr>
              <w:t>Anmeldung zur Taufe, Ersten Hl. Kommunion und Firmung</w:t>
            </w:r>
          </w:p>
        </w:tc>
        <w:tc>
          <w:tcPr>
            <w:tcW w:w="5223" w:type="dxa"/>
          </w:tcPr>
          <w:p w:rsidR="00476176" w:rsidRPr="00E67499" w:rsidRDefault="00476176" w:rsidP="00476176">
            <w:pPr>
              <w:spacing w:after="0"/>
              <w:rPr>
                <w:szCs w:val="20"/>
              </w:rPr>
            </w:pPr>
            <w:r w:rsidRPr="00E67499">
              <w:rPr>
                <w:szCs w:val="20"/>
              </w:rPr>
              <w:t xml:space="preserve">Bis nach </w:t>
            </w:r>
            <w:proofErr w:type="spellStart"/>
            <w:r w:rsidRPr="00E67499">
              <w:rPr>
                <w:szCs w:val="20"/>
              </w:rPr>
              <w:t>Sakramentenspendung</w:t>
            </w:r>
            <w:proofErr w:type="spellEnd"/>
            <w:r w:rsidRPr="00E67499">
              <w:rPr>
                <w:szCs w:val="20"/>
              </w:rPr>
              <w:t>, Registereintrag und nächster Visitation</w:t>
            </w:r>
          </w:p>
        </w:tc>
      </w:tr>
      <w:tr w:rsidR="00476176" w:rsidRPr="00E67499" w:rsidTr="00E73C2B">
        <w:tc>
          <w:tcPr>
            <w:tcW w:w="3271" w:type="dxa"/>
          </w:tcPr>
          <w:p w:rsidR="00476176" w:rsidRPr="00E67499" w:rsidRDefault="00476176" w:rsidP="00476176">
            <w:pPr>
              <w:spacing w:after="0"/>
              <w:rPr>
                <w:szCs w:val="20"/>
              </w:rPr>
            </w:pPr>
            <w:r w:rsidRPr="00E67499">
              <w:rPr>
                <w:szCs w:val="20"/>
              </w:rPr>
              <w:t>Brautexamensniederschrift / Anmeldung zur Trauung</w:t>
            </w:r>
            <w:r w:rsidR="0040347B">
              <w:rPr>
                <w:szCs w:val="20"/>
              </w:rPr>
              <w:t xml:space="preserve"> (siehe Handreichung)</w:t>
            </w:r>
          </w:p>
        </w:tc>
        <w:tc>
          <w:tcPr>
            <w:tcW w:w="5223" w:type="dxa"/>
          </w:tcPr>
          <w:p w:rsidR="00476176" w:rsidRPr="00E67499" w:rsidRDefault="0040347B" w:rsidP="00476176">
            <w:pPr>
              <w:spacing w:after="0"/>
              <w:rPr>
                <w:szCs w:val="20"/>
              </w:rPr>
            </w:pPr>
            <w:r>
              <w:rPr>
                <w:b/>
                <w:szCs w:val="20"/>
              </w:rPr>
              <w:t>80</w:t>
            </w:r>
            <w:r w:rsidR="00476176" w:rsidRPr="00E67499">
              <w:rPr>
                <w:b/>
                <w:szCs w:val="20"/>
              </w:rPr>
              <w:t xml:space="preserve"> Jahre</w:t>
            </w:r>
            <w:r w:rsidR="00476176" w:rsidRPr="00E67499">
              <w:rPr>
                <w:szCs w:val="20"/>
              </w:rPr>
              <w:t xml:space="preserve"> nach </w:t>
            </w:r>
            <w:proofErr w:type="spellStart"/>
            <w:r w:rsidR="00476176" w:rsidRPr="00E67499">
              <w:rPr>
                <w:szCs w:val="20"/>
              </w:rPr>
              <w:t>Sakramentenspendung</w:t>
            </w:r>
            <w:proofErr w:type="spellEnd"/>
            <w:r w:rsidR="00476176" w:rsidRPr="00E67499">
              <w:rPr>
                <w:szCs w:val="20"/>
              </w:rPr>
              <w:t xml:space="preserve">  (Brautexamens-niederschriften bilden eine Ausnahme, weil sie u.U. für ein Ehenichtigkeitsverfahren benötigt werden.)</w:t>
            </w:r>
          </w:p>
        </w:tc>
      </w:tr>
      <w:tr w:rsidR="00476176" w:rsidRPr="00E67499" w:rsidTr="00E73C2B">
        <w:tc>
          <w:tcPr>
            <w:tcW w:w="3271" w:type="dxa"/>
          </w:tcPr>
          <w:p w:rsidR="00476176" w:rsidRPr="00E67499" w:rsidRDefault="00476176" w:rsidP="00476176">
            <w:pPr>
              <w:spacing w:after="0"/>
              <w:rPr>
                <w:szCs w:val="20"/>
              </w:rPr>
            </w:pPr>
            <w:r w:rsidRPr="00E67499">
              <w:rPr>
                <w:szCs w:val="20"/>
              </w:rPr>
              <w:t>Standesamtliche Sterbebescheinigung</w:t>
            </w:r>
          </w:p>
        </w:tc>
        <w:tc>
          <w:tcPr>
            <w:tcW w:w="5223" w:type="dxa"/>
          </w:tcPr>
          <w:p w:rsidR="00476176" w:rsidRPr="00E67499" w:rsidRDefault="00476176" w:rsidP="00476176">
            <w:pPr>
              <w:spacing w:after="0"/>
              <w:rPr>
                <w:szCs w:val="20"/>
              </w:rPr>
            </w:pPr>
            <w:r w:rsidRPr="00E67499">
              <w:rPr>
                <w:szCs w:val="20"/>
              </w:rPr>
              <w:t>Bis nach Beerdigung, Registereintrag und nächster Visitation</w:t>
            </w:r>
          </w:p>
        </w:tc>
      </w:tr>
      <w:tr w:rsidR="00476176" w:rsidRPr="00E67499" w:rsidTr="00E73C2B">
        <w:tc>
          <w:tcPr>
            <w:tcW w:w="3271" w:type="dxa"/>
          </w:tcPr>
          <w:p w:rsidR="00476176" w:rsidRPr="00E67499" w:rsidRDefault="00476176" w:rsidP="00476176">
            <w:pPr>
              <w:spacing w:after="0"/>
              <w:rPr>
                <w:szCs w:val="20"/>
              </w:rPr>
            </w:pPr>
            <w:r w:rsidRPr="00E67499">
              <w:rPr>
                <w:szCs w:val="20"/>
              </w:rPr>
              <w:t>Baurechnungen</w:t>
            </w:r>
          </w:p>
        </w:tc>
        <w:tc>
          <w:tcPr>
            <w:tcW w:w="5223" w:type="dxa"/>
          </w:tcPr>
          <w:p w:rsidR="00476176" w:rsidRPr="00E67499" w:rsidRDefault="00476176" w:rsidP="00476176">
            <w:pPr>
              <w:spacing w:after="0"/>
              <w:rPr>
                <w:szCs w:val="20"/>
              </w:rPr>
            </w:pPr>
            <w:r w:rsidRPr="00E67499">
              <w:rPr>
                <w:szCs w:val="20"/>
              </w:rPr>
              <w:t>Baurechnungen sind Teil der Bauakte und unterli</w:t>
            </w:r>
            <w:r w:rsidR="00A06FB8">
              <w:rPr>
                <w:szCs w:val="20"/>
              </w:rPr>
              <w:t>egen deren Aufbewahrungsfristen, bzw. werden zum Archivgut.</w:t>
            </w:r>
            <w:r w:rsidRPr="00E67499">
              <w:rPr>
                <w:szCs w:val="20"/>
              </w:rPr>
              <w:t xml:space="preserve"> </w:t>
            </w:r>
          </w:p>
        </w:tc>
      </w:tr>
      <w:tr w:rsidR="00476176" w:rsidRPr="00E67499" w:rsidTr="00E73C2B">
        <w:tc>
          <w:tcPr>
            <w:tcW w:w="3271" w:type="dxa"/>
          </w:tcPr>
          <w:p w:rsidR="00476176" w:rsidRPr="00E67499" w:rsidRDefault="00476176" w:rsidP="00476176">
            <w:pPr>
              <w:spacing w:after="0"/>
              <w:rPr>
                <w:szCs w:val="20"/>
              </w:rPr>
            </w:pPr>
            <w:r w:rsidRPr="00E67499">
              <w:rPr>
                <w:szCs w:val="20"/>
              </w:rPr>
              <w:t>Kontoauszüge</w:t>
            </w:r>
            <w:bookmarkStart w:id="0" w:name="_GoBack"/>
            <w:bookmarkEnd w:id="0"/>
          </w:p>
          <w:p w:rsidR="00476176" w:rsidRPr="00E67499" w:rsidRDefault="00476176" w:rsidP="00476176">
            <w:pPr>
              <w:spacing w:after="0"/>
              <w:rPr>
                <w:szCs w:val="20"/>
              </w:rPr>
            </w:pPr>
          </w:p>
        </w:tc>
        <w:tc>
          <w:tcPr>
            <w:tcW w:w="5223" w:type="dxa"/>
          </w:tcPr>
          <w:p w:rsidR="00476176" w:rsidRPr="00E67499" w:rsidRDefault="00476176" w:rsidP="00476176">
            <w:pPr>
              <w:spacing w:after="0"/>
              <w:rPr>
                <w:szCs w:val="20"/>
              </w:rPr>
            </w:pPr>
            <w:r w:rsidRPr="00E67499">
              <w:rPr>
                <w:b/>
                <w:szCs w:val="20"/>
              </w:rPr>
              <w:t>10 Jahre</w:t>
            </w:r>
            <w:r w:rsidRPr="00E67499">
              <w:rPr>
                <w:szCs w:val="20"/>
              </w:rPr>
              <w:t xml:space="preserve"> (außer runde Jahrgänge)</w:t>
            </w:r>
          </w:p>
        </w:tc>
      </w:tr>
      <w:tr w:rsidR="00476176" w:rsidRPr="00E67499" w:rsidTr="00E73C2B">
        <w:tc>
          <w:tcPr>
            <w:tcW w:w="3271" w:type="dxa"/>
          </w:tcPr>
          <w:p w:rsidR="00476176" w:rsidRPr="00E67499" w:rsidRDefault="00476176" w:rsidP="00476176">
            <w:pPr>
              <w:spacing w:after="0"/>
              <w:rPr>
                <w:szCs w:val="20"/>
              </w:rPr>
            </w:pPr>
            <w:r w:rsidRPr="00E67499">
              <w:rPr>
                <w:szCs w:val="20"/>
              </w:rPr>
              <w:t>Rechnungen</w:t>
            </w:r>
          </w:p>
        </w:tc>
        <w:tc>
          <w:tcPr>
            <w:tcW w:w="5223" w:type="dxa"/>
          </w:tcPr>
          <w:p w:rsidR="00476176" w:rsidRPr="00E67499" w:rsidRDefault="00476176" w:rsidP="00476176">
            <w:pPr>
              <w:spacing w:after="0"/>
              <w:rPr>
                <w:szCs w:val="20"/>
              </w:rPr>
            </w:pPr>
            <w:r w:rsidRPr="00E67499">
              <w:rPr>
                <w:b/>
                <w:szCs w:val="20"/>
              </w:rPr>
              <w:t>10 Jahre</w:t>
            </w:r>
            <w:r w:rsidRPr="00E67499">
              <w:rPr>
                <w:szCs w:val="20"/>
              </w:rPr>
              <w:t xml:space="preserve"> (außer geschichtserheblicher Rechnungen und runde Jahrgänge)</w:t>
            </w:r>
          </w:p>
        </w:tc>
      </w:tr>
      <w:tr w:rsidR="00E73C2B" w:rsidRPr="00E67499" w:rsidTr="00E73C2B">
        <w:tc>
          <w:tcPr>
            <w:tcW w:w="3271" w:type="dxa"/>
          </w:tcPr>
          <w:p w:rsidR="00E73C2B" w:rsidRPr="00E67499" w:rsidRDefault="00E73C2B" w:rsidP="00E73C2B">
            <w:pPr>
              <w:spacing w:after="0"/>
              <w:rPr>
                <w:szCs w:val="20"/>
              </w:rPr>
            </w:pPr>
            <w:r w:rsidRPr="00E67499">
              <w:rPr>
                <w:szCs w:val="20"/>
              </w:rPr>
              <w:lastRenderedPageBreak/>
              <w:t>Sammellisten und Spendenbescheinigungen</w:t>
            </w:r>
          </w:p>
        </w:tc>
        <w:tc>
          <w:tcPr>
            <w:tcW w:w="5223" w:type="dxa"/>
          </w:tcPr>
          <w:p w:rsidR="00E73C2B" w:rsidRPr="00E67499" w:rsidRDefault="00E73C2B" w:rsidP="00E73C2B">
            <w:pPr>
              <w:spacing w:after="0"/>
              <w:rPr>
                <w:szCs w:val="20"/>
              </w:rPr>
            </w:pPr>
            <w:r w:rsidRPr="00E67499">
              <w:rPr>
                <w:b/>
                <w:szCs w:val="20"/>
              </w:rPr>
              <w:t>10 Jahre</w:t>
            </w:r>
            <w:r w:rsidRPr="00E67499">
              <w:rPr>
                <w:szCs w:val="20"/>
              </w:rPr>
              <w:t xml:space="preserve"> (außer runde und halbrunde Jahrgänge)</w:t>
            </w:r>
          </w:p>
        </w:tc>
      </w:tr>
      <w:tr w:rsidR="00E73C2B" w:rsidRPr="00E67499" w:rsidTr="00E73C2B">
        <w:tc>
          <w:tcPr>
            <w:tcW w:w="3271" w:type="dxa"/>
          </w:tcPr>
          <w:p w:rsidR="00E73C2B" w:rsidRPr="00E67499" w:rsidRDefault="00E73C2B" w:rsidP="00E73C2B">
            <w:pPr>
              <w:spacing w:after="0"/>
              <w:rPr>
                <w:szCs w:val="20"/>
              </w:rPr>
            </w:pPr>
            <w:proofErr w:type="spellStart"/>
            <w:r w:rsidRPr="00E67499">
              <w:rPr>
                <w:szCs w:val="20"/>
              </w:rPr>
              <w:t>Hauungspläne</w:t>
            </w:r>
            <w:proofErr w:type="spellEnd"/>
          </w:p>
          <w:p w:rsidR="00E73C2B" w:rsidRPr="00E67499" w:rsidRDefault="00E73C2B" w:rsidP="00E73C2B">
            <w:pPr>
              <w:spacing w:after="0"/>
              <w:rPr>
                <w:szCs w:val="20"/>
              </w:rPr>
            </w:pPr>
          </w:p>
        </w:tc>
        <w:tc>
          <w:tcPr>
            <w:tcW w:w="5223" w:type="dxa"/>
          </w:tcPr>
          <w:p w:rsidR="00E73C2B" w:rsidRPr="00E67499" w:rsidRDefault="00E73C2B" w:rsidP="00E73C2B">
            <w:pPr>
              <w:spacing w:after="0"/>
              <w:rPr>
                <w:szCs w:val="20"/>
              </w:rPr>
            </w:pPr>
            <w:r w:rsidRPr="00E67499">
              <w:rPr>
                <w:b/>
                <w:szCs w:val="20"/>
              </w:rPr>
              <w:t>10 Jahre</w:t>
            </w:r>
            <w:r w:rsidRPr="00E67499">
              <w:rPr>
                <w:szCs w:val="20"/>
              </w:rPr>
              <w:t xml:space="preserve"> (außer runde und halbrunde Jahrgänge)</w:t>
            </w:r>
          </w:p>
        </w:tc>
      </w:tr>
      <w:tr w:rsidR="00E73C2B" w:rsidRPr="00E67499" w:rsidTr="00E73C2B">
        <w:tc>
          <w:tcPr>
            <w:tcW w:w="3271" w:type="dxa"/>
          </w:tcPr>
          <w:p w:rsidR="00E73C2B" w:rsidRPr="00E67499" w:rsidRDefault="00E73C2B" w:rsidP="00E73C2B">
            <w:pPr>
              <w:spacing w:after="0"/>
              <w:rPr>
                <w:szCs w:val="20"/>
              </w:rPr>
            </w:pPr>
            <w:r w:rsidRPr="00E67499">
              <w:rPr>
                <w:szCs w:val="20"/>
              </w:rPr>
              <w:t>Kassenprüfungsberichte</w:t>
            </w:r>
          </w:p>
        </w:tc>
        <w:tc>
          <w:tcPr>
            <w:tcW w:w="5223" w:type="dxa"/>
          </w:tcPr>
          <w:p w:rsidR="00E73C2B" w:rsidRPr="00E67499" w:rsidRDefault="00E73C2B" w:rsidP="00E73C2B">
            <w:pPr>
              <w:spacing w:after="0"/>
              <w:rPr>
                <w:szCs w:val="20"/>
              </w:rPr>
            </w:pPr>
            <w:r w:rsidRPr="00E67499">
              <w:rPr>
                <w:b/>
                <w:szCs w:val="20"/>
              </w:rPr>
              <w:t>10 Jahre</w:t>
            </w:r>
            <w:r w:rsidRPr="00E67499">
              <w:rPr>
                <w:szCs w:val="20"/>
              </w:rPr>
              <w:t xml:space="preserve"> (außer Vorgänge mit beachtenswerten Beanstandungen)</w:t>
            </w:r>
          </w:p>
        </w:tc>
      </w:tr>
      <w:tr w:rsidR="00E73C2B" w:rsidRPr="00E67499" w:rsidTr="00E73C2B">
        <w:tc>
          <w:tcPr>
            <w:tcW w:w="3271" w:type="dxa"/>
          </w:tcPr>
          <w:p w:rsidR="00E73C2B" w:rsidRPr="00E67499" w:rsidRDefault="00E73C2B" w:rsidP="00E73C2B">
            <w:pPr>
              <w:spacing w:after="0"/>
              <w:rPr>
                <w:szCs w:val="20"/>
              </w:rPr>
            </w:pPr>
            <w:r w:rsidRPr="00E67499">
              <w:rPr>
                <w:szCs w:val="20"/>
              </w:rPr>
              <w:t>Aufstellung Haushaltspläne</w:t>
            </w:r>
          </w:p>
          <w:p w:rsidR="00E73C2B" w:rsidRPr="00E67499" w:rsidRDefault="00E73C2B" w:rsidP="00E73C2B">
            <w:pPr>
              <w:spacing w:after="0"/>
              <w:rPr>
                <w:szCs w:val="20"/>
              </w:rPr>
            </w:pPr>
          </w:p>
        </w:tc>
        <w:tc>
          <w:tcPr>
            <w:tcW w:w="5223" w:type="dxa"/>
          </w:tcPr>
          <w:p w:rsidR="00E73C2B" w:rsidRPr="00E67499" w:rsidRDefault="00E73C2B" w:rsidP="00E73C2B">
            <w:pPr>
              <w:spacing w:after="0"/>
              <w:rPr>
                <w:szCs w:val="20"/>
              </w:rPr>
            </w:pPr>
            <w:r w:rsidRPr="00E67499">
              <w:rPr>
                <w:b/>
                <w:szCs w:val="20"/>
              </w:rPr>
              <w:t>10 Jahre</w:t>
            </w:r>
            <w:r w:rsidRPr="00E67499">
              <w:rPr>
                <w:szCs w:val="20"/>
              </w:rPr>
              <w:t xml:space="preserve"> (außer runde Jahrgänge)</w:t>
            </w:r>
          </w:p>
        </w:tc>
      </w:tr>
      <w:tr w:rsidR="00E73C2B" w:rsidRPr="00E67499" w:rsidTr="00E73C2B">
        <w:tc>
          <w:tcPr>
            <w:tcW w:w="3271" w:type="dxa"/>
          </w:tcPr>
          <w:p w:rsidR="00E73C2B" w:rsidRPr="00E67499" w:rsidRDefault="00E73C2B" w:rsidP="00E73C2B">
            <w:pPr>
              <w:spacing w:after="0"/>
              <w:rPr>
                <w:szCs w:val="20"/>
              </w:rPr>
            </w:pPr>
            <w:r w:rsidRPr="00E67499">
              <w:rPr>
                <w:szCs w:val="20"/>
              </w:rPr>
              <w:t>Haushaltspläne</w:t>
            </w:r>
          </w:p>
          <w:p w:rsidR="00E73C2B" w:rsidRPr="00E67499" w:rsidRDefault="00E73C2B" w:rsidP="00E73C2B">
            <w:pPr>
              <w:spacing w:after="0"/>
              <w:rPr>
                <w:szCs w:val="20"/>
              </w:rPr>
            </w:pPr>
          </w:p>
        </w:tc>
        <w:tc>
          <w:tcPr>
            <w:tcW w:w="5223" w:type="dxa"/>
          </w:tcPr>
          <w:p w:rsidR="00E73C2B" w:rsidRPr="00E67499" w:rsidRDefault="00E73C2B" w:rsidP="00E73C2B">
            <w:pPr>
              <w:spacing w:after="0"/>
              <w:rPr>
                <w:szCs w:val="20"/>
              </w:rPr>
            </w:pPr>
            <w:r w:rsidRPr="00E67499">
              <w:rPr>
                <w:b/>
                <w:szCs w:val="20"/>
              </w:rPr>
              <w:t>10 Jahre</w:t>
            </w:r>
            <w:r w:rsidRPr="00E67499">
              <w:rPr>
                <w:szCs w:val="20"/>
              </w:rPr>
              <w:t xml:space="preserve"> (jeden 10. Jahrgang aufheben)</w:t>
            </w:r>
          </w:p>
        </w:tc>
      </w:tr>
      <w:tr w:rsidR="00E73C2B" w:rsidRPr="00E67499" w:rsidTr="00E73C2B">
        <w:tc>
          <w:tcPr>
            <w:tcW w:w="3271" w:type="dxa"/>
          </w:tcPr>
          <w:p w:rsidR="00E73C2B" w:rsidRPr="00E67499" w:rsidRDefault="00E73C2B" w:rsidP="00E73C2B">
            <w:pPr>
              <w:spacing w:after="0"/>
              <w:rPr>
                <w:szCs w:val="20"/>
              </w:rPr>
            </w:pPr>
            <w:r w:rsidRPr="00E67499">
              <w:rPr>
                <w:szCs w:val="20"/>
              </w:rPr>
              <w:t>Belege zur Jahresrechnung</w:t>
            </w:r>
          </w:p>
          <w:p w:rsidR="00E73C2B" w:rsidRPr="00E67499" w:rsidRDefault="00E73C2B" w:rsidP="00E73C2B">
            <w:pPr>
              <w:spacing w:after="0"/>
              <w:rPr>
                <w:szCs w:val="20"/>
              </w:rPr>
            </w:pPr>
          </w:p>
        </w:tc>
        <w:tc>
          <w:tcPr>
            <w:tcW w:w="5223" w:type="dxa"/>
          </w:tcPr>
          <w:p w:rsidR="00E73C2B" w:rsidRPr="00E67499" w:rsidRDefault="00E73C2B" w:rsidP="00E73C2B">
            <w:pPr>
              <w:spacing w:after="0"/>
              <w:rPr>
                <w:szCs w:val="20"/>
              </w:rPr>
            </w:pPr>
            <w:r w:rsidRPr="00E67499">
              <w:rPr>
                <w:b/>
                <w:szCs w:val="20"/>
              </w:rPr>
              <w:t>10 Jahre</w:t>
            </w:r>
            <w:r w:rsidRPr="00E67499">
              <w:rPr>
                <w:szCs w:val="20"/>
              </w:rPr>
              <w:t xml:space="preserve"> (jeden 10. Jahrgang aufheben)</w:t>
            </w:r>
          </w:p>
        </w:tc>
      </w:tr>
    </w:tbl>
    <w:p w:rsidR="00DB21B0" w:rsidRDefault="00DB21B0" w:rsidP="00DB21B0"/>
    <w:p w:rsidR="00476176" w:rsidRDefault="00476176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7417FD">
            <w:pPr>
              <w:ind w:right="175"/>
            </w:pP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/>
    <w:sectPr w:rsidR="007417FD" w:rsidSect="000F01D5">
      <w:footerReference w:type="even" r:id="rId13"/>
      <w:footerReference w:type="default" r:id="rId14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FD1" w:rsidRDefault="008B2FD1" w:rsidP="00C74538">
      <w:pPr>
        <w:spacing w:after="0"/>
      </w:pPr>
      <w:r>
        <w:separator/>
      </w:r>
    </w:p>
  </w:endnote>
  <w:endnote w:type="continuationSeparator" w:id="0">
    <w:p w:rsidR="008B2FD1" w:rsidRDefault="008B2FD1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7B5F98" w:rsidP="00C100A1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8B2FD1">
      <w:rPr>
        <w:noProof/>
      </w:rPr>
      <w:t>Dokument18</w:t>
    </w:r>
    <w:r>
      <w:rPr>
        <w:noProof/>
      </w:rPr>
      <w:fldChar w:fldCharType="end"/>
    </w:r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B2FD1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2E0EAA" w:rsidP="00912B79">
    <w:pPr>
      <w:pStyle w:val="Fuzeile"/>
      <w:jc w:val="center"/>
      <w:rPr>
        <w:noProof/>
      </w:rPr>
    </w:pPr>
    <w:fldSimple w:instr=" FILENAME   \* MERGEFORMAT ">
      <w:r w:rsidR="007B5F98">
        <w:rPr>
          <w:noProof/>
        </w:rPr>
        <w:t>B.4.2.3 Aufbewahrungsfristen.docx</w:t>
      </w:r>
    </w:fldSimple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7B5F98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7B5F98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FD1" w:rsidRDefault="008B2FD1" w:rsidP="00C74538">
      <w:pPr>
        <w:spacing w:after="0"/>
      </w:pPr>
      <w:r>
        <w:separator/>
      </w:r>
    </w:p>
  </w:footnote>
  <w:footnote w:type="continuationSeparator" w:id="0">
    <w:p w:rsidR="008B2FD1" w:rsidRDefault="008B2FD1" w:rsidP="00C74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FD1"/>
    <w:rsid w:val="0002278F"/>
    <w:rsid w:val="0006355F"/>
    <w:rsid w:val="00074A02"/>
    <w:rsid w:val="000A107A"/>
    <w:rsid w:val="000F01D5"/>
    <w:rsid w:val="00225F03"/>
    <w:rsid w:val="002E0EAA"/>
    <w:rsid w:val="00344EA7"/>
    <w:rsid w:val="003B7D90"/>
    <w:rsid w:val="0040347B"/>
    <w:rsid w:val="00462781"/>
    <w:rsid w:val="00476176"/>
    <w:rsid w:val="004B5665"/>
    <w:rsid w:val="0051580E"/>
    <w:rsid w:val="005D4372"/>
    <w:rsid w:val="006C5A47"/>
    <w:rsid w:val="00706CB7"/>
    <w:rsid w:val="007417FD"/>
    <w:rsid w:val="007B5F98"/>
    <w:rsid w:val="007C5172"/>
    <w:rsid w:val="008B2FD1"/>
    <w:rsid w:val="00912B79"/>
    <w:rsid w:val="00951EB1"/>
    <w:rsid w:val="00965DD2"/>
    <w:rsid w:val="009B649A"/>
    <w:rsid w:val="009F6763"/>
    <w:rsid w:val="00A06FB8"/>
    <w:rsid w:val="00A74608"/>
    <w:rsid w:val="00AA37D8"/>
    <w:rsid w:val="00B24499"/>
    <w:rsid w:val="00B75F0A"/>
    <w:rsid w:val="00B94016"/>
    <w:rsid w:val="00C100A1"/>
    <w:rsid w:val="00C241C1"/>
    <w:rsid w:val="00C549C0"/>
    <w:rsid w:val="00C609AE"/>
    <w:rsid w:val="00C74538"/>
    <w:rsid w:val="00CD5377"/>
    <w:rsid w:val="00DB21B0"/>
    <w:rsid w:val="00E67499"/>
    <w:rsid w:val="00E73C2B"/>
    <w:rsid w:val="00EE3473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993160A1-44B9-42CF-8102-D9A7B48E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37D8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  <w:style w:type="paragraph" w:styleId="KeinLeerraum">
    <w:name w:val="No Spacing"/>
    <w:uiPriority w:val="1"/>
    <w:qFormat/>
    <w:rsid w:val="008B2FD1"/>
    <w:pPr>
      <w:spacing w:after="0" w:line="240" w:lineRule="auto"/>
    </w:pPr>
  </w:style>
  <w:style w:type="character" w:styleId="Hyperlink">
    <w:name w:val="Hyperlink"/>
    <w:basedOn w:val="Absatz-Standardschriftart"/>
    <w:uiPriority w:val="99"/>
    <w:semiHidden/>
    <w:unhideWhenUsed/>
    <w:rsid w:val="008B2F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e.wikipedia.org/wiki/Schriftst%C3%BCc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.wikipedia.org/wiki/Aufbewahrungspflich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e.wikipedia.org/wiki/Schriftst%C3%BCc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.wikipedia.org/wiki/Aufbewahrungspflich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F5702-1500-4649-97C2-519EC04E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Bernhardine Freitag</cp:lastModifiedBy>
  <cp:revision>6</cp:revision>
  <dcterms:created xsi:type="dcterms:W3CDTF">2015-11-10T11:18:00Z</dcterms:created>
  <dcterms:modified xsi:type="dcterms:W3CDTF">2016-05-06T09:52:00Z</dcterms:modified>
</cp:coreProperties>
</file>