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1D5" w:rsidRPr="00BA7A07" w:rsidRDefault="00BA7A07" w:rsidP="00BA7A07">
      <w:r>
        <w:rPr>
          <w:noProof/>
          <w:lang w:eastAsia="de-DE"/>
        </w:rPr>
        <mc:AlternateContent>
          <mc:Choice Requires="wps">
            <w:drawing>
              <wp:anchor distT="0" distB="0" distL="114300" distR="114300" simplePos="0" relativeHeight="251659264" behindDoc="0" locked="0" layoutInCell="1" allowOverlap="1" wp14:anchorId="0A30F195" wp14:editId="12B09834">
                <wp:simplePos x="0" y="0"/>
                <wp:positionH relativeFrom="column">
                  <wp:posOffset>-32385</wp:posOffset>
                </wp:positionH>
                <wp:positionV relativeFrom="paragraph">
                  <wp:posOffset>2540</wp:posOffset>
                </wp:positionV>
                <wp:extent cx="5781675" cy="3933825"/>
                <wp:effectExtent l="0" t="0" r="28575" b="2349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93382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F0578D">
                              <w:t>B.4.2.4</w:t>
                            </w:r>
                            <w:r w:rsidR="00912B79">
                              <w:t xml:space="preserve"> | Stand: </w:t>
                            </w:r>
                            <w:r w:rsidR="00235CB3">
                              <w:t>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BA7A07" w:rsidP="00B75F0A">
                                  <w:pPr>
                                    <w:pStyle w:val="berschrift1"/>
                                    <w:outlineLvl w:val="0"/>
                                    <w:rPr>
                                      <w:color w:val="5B9BD5" w:themeColor="accent1"/>
                                      <w:szCs w:val="40"/>
                                    </w:rPr>
                                  </w:pPr>
                                  <w:r>
                                    <w:t>Kassation</w:t>
                                  </w:r>
                                </w:p>
                                <w:p w:rsidR="00B75F0A" w:rsidRPr="00B75F0A" w:rsidRDefault="00B75F0A" w:rsidP="00BA7A07">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7F2280F8" wp14:editId="69BAB5D5">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02278F" w:rsidRPr="00F91E1D" w:rsidRDefault="00BA7A07" w:rsidP="00BA7A07">
                            <w:pPr>
                              <w:spacing w:after="160" w:line="259" w:lineRule="auto"/>
                              <w:rPr>
                                <w:rStyle w:val="Fett"/>
                                <w:szCs w:val="20"/>
                              </w:rPr>
                            </w:pPr>
                            <w:r w:rsidRPr="00F91E1D">
                              <w:rPr>
                                <w:b/>
                                <w:szCs w:val="20"/>
                              </w:rPr>
                              <w:t xml:space="preserve">Nach Ablauf der Aufbewahrungsfristen hat für das Schriftgut eine </w:t>
                            </w:r>
                            <w:proofErr w:type="spellStart"/>
                            <w:r w:rsidRPr="00F91E1D">
                              <w:rPr>
                                <w:b/>
                                <w:szCs w:val="20"/>
                              </w:rPr>
                              <w:t>archivische</w:t>
                            </w:r>
                            <w:proofErr w:type="spellEnd"/>
                            <w:r w:rsidRPr="00F91E1D">
                              <w:rPr>
                                <w:b/>
                                <w:szCs w:val="20"/>
                              </w:rPr>
                              <w:t xml:space="preserve"> Bewertung stattgefunden. Die archivwürdigen Akten/Schriftstücke sind ins Archiv überführt. Das nicht archivwürdige Schriftgut ist kassiert.</w:t>
                            </w:r>
                          </w:p>
                          <w:p w:rsidR="00CD5377" w:rsidRDefault="00C74538" w:rsidP="00C100A1">
                            <w:pPr>
                              <w:pStyle w:val="Uberschrift2fett"/>
                            </w:pPr>
                            <w:r>
                              <w:t>Zur Information</w:t>
                            </w:r>
                            <w:r w:rsidR="004B5665">
                              <w:t>:</w:t>
                            </w:r>
                          </w:p>
                          <w:p w:rsidR="00AA37D8" w:rsidRPr="00F91E1D" w:rsidRDefault="00BA7A07" w:rsidP="00583879">
                            <w:pPr>
                              <w:spacing w:after="160" w:line="259" w:lineRule="auto"/>
                              <w:rPr>
                                <w:szCs w:val="20"/>
                              </w:rPr>
                            </w:pPr>
                            <w:r w:rsidRPr="00F91E1D">
                              <w:rPr>
                                <w:szCs w:val="20"/>
                              </w:rPr>
                              <w:t xml:space="preserve">Unter </w:t>
                            </w:r>
                            <w:r w:rsidRPr="00F91E1D">
                              <w:rPr>
                                <w:bCs/>
                                <w:szCs w:val="20"/>
                              </w:rPr>
                              <w:t>Kassation</w:t>
                            </w:r>
                            <w:r w:rsidRPr="00F91E1D">
                              <w:rPr>
                                <w:szCs w:val="20"/>
                              </w:rPr>
                              <w:t xml:space="preserve"> versteht man im </w:t>
                            </w:r>
                            <w:hyperlink r:id="rId9" w:tooltip="Archivwesen" w:history="1">
                              <w:r w:rsidRPr="00F91E1D">
                                <w:rPr>
                                  <w:szCs w:val="20"/>
                                </w:rPr>
                                <w:t>Archivwesen</w:t>
                              </w:r>
                            </w:hyperlink>
                            <w:r w:rsidRPr="00F91E1D">
                              <w:rPr>
                                <w:szCs w:val="20"/>
                              </w:rPr>
                              <w:t xml:space="preserve"> die </w:t>
                            </w:r>
                            <w:hyperlink r:id="rId10" w:tooltip="Datenschutz" w:history="1">
                              <w:r w:rsidRPr="00F91E1D">
                                <w:rPr>
                                  <w:szCs w:val="20"/>
                                </w:rPr>
                                <w:t>datenschutzgerechte</w:t>
                              </w:r>
                            </w:hyperlink>
                            <w:r w:rsidRPr="00F91E1D">
                              <w:rPr>
                                <w:szCs w:val="20"/>
                              </w:rPr>
                              <w:t xml:space="preserve"> Vernichtung nicht archivwürdig </w:t>
                            </w:r>
                            <w:hyperlink r:id="rId11" w:tooltip="Archivische Bewertung" w:history="1">
                              <w:r w:rsidRPr="00F91E1D">
                                <w:rPr>
                                  <w:szCs w:val="20"/>
                                </w:rPr>
                                <w:t>bewerteter</w:t>
                              </w:r>
                            </w:hyperlink>
                            <w:r w:rsidRPr="00F91E1D">
                              <w:rPr>
                                <w:szCs w:val="20"/>
                              </w:rPr>
                              <w:t xml:space="preserve"> Unterlagen. </w:t>
                            </w:r>
                            <w:proofErr w:type="spellStart"/>
                            <w:r w:rsidRPr="00F91E1D">
                              <w:rPr>
                                <w:szCs w:val="20"/>
                              </w:rPr>
                              <w:t>Kassierbar</w:t>
                            </w:r>
                            <w:proofErr w:type="spellEnd"/>
                            <w:r w:rsidRPr="00F91E1D">
                              <w:rPr>
                                <w:szCs w:val="20"/>
                              </w:rPr>
                              <w:t xml:space="preserve"> ist, was im Archiv nicht einmalig ist (bspw. Kopien mit vorhandenen Originalen), was nicht mehr rechtserheblich und historisch wertlos ist. (Wikipedia).</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0A30F195" id="AutoForm 14" o:spid="_x0000_s1026" style="position:absolute;margin-left:-2.55pt;margin-top:.2pt;width:455.2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F0578D">
                        <w:t>B.4.2.4</w:t>
                      </w:r>
                      <w:r w:rsidR="00912B79">
                        <w:t xml:space="preserve"> | Stand: </w:t>
                      </w:r>
                      <w:r w:rsidR="00235CB3">
                        <w:t>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BA7A07" w:rsidP="00B75F0A">
                            <w:pPr>
                              <w:pStyle w:val="berschrift1"/>
                              <w:outlineLvl w:val="0"/>
                              <w:rPr>
                                <w:color w:val="5B9BD5" w:themeColor="accent1"/>
                                <w:szCs w:val="40"/>
                              </w:rPr>
                            </w:pPr>
                            <w:r>
                              <w:t>Kassation</w:t>
                            </w:r>
                          </w:p>
                          <w:p w:rsidR="00B75F0A" w:rsidRPr="00B75F0A" w:rsidRDefault="00B75F0A" w:rsidP="00BA7A07">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7F2280F8" wp14:editId="69BAB5D5">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02278F" w:rsidRPr="00F91E1D" w:rsidRDefault="00BA7A07" w:rsidP="00BA7A07">
                      <w:pPr>
                        <w:spacing w:after="160" w:line="259" w:lineRule="auto"/>
                        <w:rPr>
                          <w:rStyle w:val="Fett"/>
                          <w:szCs w:val="20"/>
                        </w:rPr>
                      </w:pPr>
                      <w:r w:rsidRPr="00F91E1D">
                        <w:rPr>
                          <w:b/>
                          <w:szCs w:val="20"/>
                        </w:rPr>
                        <w:t xml:space="preserve">Nach Ablauf der Aufbewahrungsfristen hat für das Schriftgut eine </w:t>
                      </w:r>
                      <w:proofErr w:type="spellStart"/>
                      <w:r w:rsidRPr="00F91E1D">
                        <w:rPr>
                          <w:b/>
                          <w:szCs w:val="20"/>
                        </w:rPr>
                        <w:t>archivische</w:t>
                      </w:r>
                      <w:proofErr w:type="spellEnd"/>
                      <w:r w:rsidRPr="00F91E1D">
                        <w:rPr>
                          <w:b/>
                          <w:szCs w:val="20"/>
                        </w:rPr>
                        <w:t xml:space="preserve"> Bewertung stattgefunden. Die archivwürdigen Akten/Schriftstücke sind ins Archiv überführt. Das nicht archivwürdige Schriftgut ist kassiert.</w:t>
                      </w:r>
                    </w:p>
                    <w:p w:rsidR="00CD5377" w:rsidRDefault="00C74538" w:rsidP="00C100A1">
                      <w:pPr>
                        <w:pStyle w:val="Uberschrift2fett"/>
                      </w:pPr>
                      <w:r>
                        <w:t>Zur Information</w:t>
                      </w:r>
                      <w:r w:rsidR="004B5665">
                        <w:t>:</w:t>
                      </w:r>
                    </w:p>
                    <w:p w:rsidR="00AA37D8" w:rsidRPr="00F91E1D" w:rsidRDefault="00BA7A07" w:rsidP="00583879">
                      <w:pPr>
                        <w:spacing w:after="160" w:line="259" w:lineRule="auto"/>
                        <w:rPr>
                          <w:szCs w:val="20"/>
                        </w:rPr>
                      </w:pPr>
                      <w:r w:rsidRPr="00F91E1D">
                        <w:rPr>
                          <w:szCs w:val="20"/>
                        </w:rPr>
                        <w:t xml:space="preserve">Unter </w:t>
                      </w:r>
                      <w:r w:rsidRPr="00F91E1D">
                        <w:rPr>
                          <w:bCs/>
                          <w:szCs w:val="20"/>
                        </w:rPr>
                        <w:t>Kassation</w:t>
                      </w:r>
                      <w:r w:rsidRPr="00F91E1D">
                        <w:rPr>
                          <w:szCs w:val="20"/>
                        </w:rPr>
                        <w:t xml:space="preserve"> versteht man im </w:t>
                      </w:r>
                      <w:hyperlink r:id="rId12" w:tooltip="Archivwesen" w:history="1">
                        <w:r w:rsidRPr="00F91E1D">
                          <w:rPr>
                            <w:szCs w:val="20"/>
                          </w:rPr>
                          <w:t>Archivwesen</w:t>
                        </w:r>
                      </w:hyperlink>
                      <w:r w:rsidRPr="00F91E1D">
                        <w:rPr>
                          <w:szCs w:val="20"/>
                        </w:rPr>
                        <w:t xml:space="preserve"> die </w:t>
                      </w:r>
                      <w:hyperlink r:id="rId13" w:tooltip="Datenschutz" w:history="1">
                        <w:r w:rsidRPr="00F91E1D">
                          <w:rPr>
                            <w:szCs w:val="20"/>
                          </w:rPr>
                          <w:t>datenschutzgerechte</w:t>
                        </w:r>
                      </w:hyperlink>
                      <w:r w:rsidRPr="00F91E1D">
                        <w:rPr>
                          <w:szCs w:val="20"/>
                        </w:rPr>
                        <w:t xml:space="preserve"> Vernichtung nicht archivwürdig </w:t>
                      </w:r>
                      <w:hyperlink r:id="rId14" w:tooltip="Archivische Bewertung" w:history="1">
                        <w:r w:rsidRPr="00F91E1D">
                          <w:rPr>
                            <w:szCs w:val="20"/>
                          </w:rPr>
                          <w:t>bewerteter</w:t>
                        </w:r>
                      </w:hyperlink>
                      <w:r w:rsidRPr="00F91E1D">
                        <w:rPr>
                          <w:szCs w:val="20"/>
                        </w:rPr>
                        <w:t xml:space="preserve"> Unterlagen. </w:t>
                      </w:r>
                      <w:proofErr w:type="spellStart"/>
                      <w:r w:rsidRPr="00F91E1D">
                        <w:rPr>
                          <w:szCs w:val="20"/>
                        </w:rPr>
                        <w:t>Kassierbar</w:t>
                      </w:r>
                      <w:proofErr w:type="spellEnd"/>
                      <w:r w:rsidRPr="00F91E1D">
                        <w:rPr>
                          <w:szCs w:val="20"/>
                        </w:rPr>
                        <w:t xml:space="preserve"> ist, was im Archiv nicht einmalig ist (bspw. Kopien mit vorhandenen Originalen), was nicht mehr rechtserheblich und historisch wertlos ist. (Wikipedia).</w:t>
                      </w:r>
                    </w:p>
                  </w:txbxContent>
                </v:textbox>
                <w10:wrap type="topAndBottom"/>
              </v:rect>
            </w:pict>
          </mc:Fallback>
        </mc:AlternateContent>
      </w:r>
      <w:r w:rsidR="000F01D5">
        <w:rPr>
          <w:noProof/>
          <w:lang w:eastAsia="de-DE"/>
        </w:rPr>
        <mc:AlternateContent>
          <mc:Choice Requires="wps">
            <w:drawing>
              <wp:anchor distT="0" distB="0" distL="114300" distR="114300" simplePos="0" relativeHeight="251662336" behindDoc="0" locked="0" layoutInCell="1" allowOverlap="1" wp14:anchorId="5BA92B4E" wp14:editId="03EF2E6D">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A92B4E" id="_x0000_t202" coordsize="21600,21600" o:spt="202" path="m,l,21600r21600,l21600,xe">
                <v:stroke joinstyle="miter"/>
                <v:path gradientshapeok="t" o:connecttype="rect"/>
              </v:shapetype>
              <v:shape id="Textfeld 4" o:spid="_x0000_s1027"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p>
    <w:p w:rsidR="00CD5377" w:rsidRDefault="000F01D5" w:rsidP="006C5A47">
      <w:pPr>
        <w:pStyle w:val="berschrift2"/>
      </w:pPr>
      <w:r>
        <w:sym w:font="Wingdings" w:char="F06E"/>
      </w:r>
      <w:r>
        <w:t xml:space="preserve"> </w:t>
      </w:r>
      <w:r w:rsidR="00CD5377">
        <w:t>W</w:t>
      </w:r>
      <w:r w:rsidR="00C100A1">
        <w:t>as muss ich beachten?</w:t>
      </w:r>
    </w:p>
    <w:p w:rsidR="00BA7A07" w:rsidRPr="00F91E1D" w:rsidRDefault="00BA7A07" w:rsidP="00BA7A07">
      <w:pPr>
        <w:spacing w:after="160" w:line="259" w:lineRule="auto"/>
        <w:rPr>
          <w:szCs w:val="20"/>
        </w:rPr>
      </w:pPr>
      <w:r w:rsidRPr="00F91E1D">
        <w:rPr>
          <w:szCs w:val="20"/>
        </w:rPr>
        <w:t xml:space="preserve">Wenn die Aufbewahrungsfristen für Schriftgut abgelaufen sind, wird geprüft, was archivwürdig ist und was vernichtet werden kann. Archivwürdiges Schriftgut wird dauerhaft aufbewahrt (archiviert) und nicht archivwürdiges Schriftgut wird unter der Beachtung von Datenschutzbestimmungen vernichtet (durch Unternehmen entsprechend entsorgt oder </w:t>
      </w:r>
      <w:proofErr w:type="spellStart"/>
      <w:r w:rsidRPr="00F91E1D">
        <w:rPr>
          <w:szCs w:val="20"/>
        </w:rPr>
        <w:t>geschreddert</w:t>
      </w:r>
      <w:proofErr w:type="spellEnd"/>
      <w:r w:rsidRPr="00F91E1D">
        <w:rPr>
          <w:szCs w:val="20"/>
        </w:rPr>
        <w:t xml:space="preserve">). </w:t>
      </w:r>
    </w:p>
    <w:p w:rsidR="00BA7A07" w:rsidRPr="00F91E1D" w:rsidRDefault="00BA7A07" w:rsidP="00BA7A07">
      <w:pPr>
        <w:spacing w:after="160" w:line="259" w:lineRule="auto"/>
        <w:rPr>
          <w:b/>
          <w:szCs w:val="20"/>
        </w:rPr>
      </w:pPr>
      <w:r w:rsidRPr="00F91E1D">
        <w:rPr>
          <w:b/>
          <w:szCs w:val="20"/>
        </w:rPr>
        <w:t>Entscheidungshilfen zur Kassation von Schriftgut:</w:t>
      </w:r>
    </w:p>
    <w:tbl>
      <w:tblPr>
        <w:tblStyle w:val="Tabellenraster"/>
        <w:tblW w:w="8642" w:type="dxa"/>
        <w:tblLayout w:type="fixed"/>
        <w:tblLook w:val="04A0" w:firstRow="1" w:lastRow="0" w:firstColumn="1" w:lastColumn="0" w:noHBand="0" w:noVBand="1"/>
      </w:tblPr>
      <w:tblGrid>
        <w:gridCol w:w="2830"/>
        <w:gridCol w:w="1134"/>
        <w:gridCol w:w="1134"/>
        <w:gridCol w:w="3544"/>
      </w:tblGrid>
      <w:tr w:rsidR="00BA7A07" w:rsidRPr="00F91E1D" w:rsidTr="00BA7A07">
        <w:trPr>
          <w:cantSplit/>
        </w:trPr>
        <w:tc>
          <w:tcPr>
            <w:tcW w:w="2830" w:type="dxa"/>
          </w:tcPr>
          <w:p w:rsidR="00BA7A07" w:rsidRPr="00F91E1D" w:rsidRDefault="00BA7A07" w:rsidP="00BA7A07">
            <w:pPr>
              <w:spacing w:after="0"/>
              <w:rPr>
                <w:b/>
                <w:szCs w:val="20"/>
              </w:rPr>
            </w:pPr>
            <w:r w:rsidRPr="00F91E1D">
              <w:rPr>
                <w:b/>
                <w:szCs w:val="20"/>
              </w:rPr>
              <w:t>Schriftgut</w:t>
            </w:r>
          </w:p>
        </w:tc>
        <w:tc>
          <w:tcPr>
            <w:tcW w:w="1134" w:type="dxa"/>
          </w:tcPr>
          <w:p w:rsidR="00BA7A07" w:rsidRPr="00F91E1D" w:rsidRDefault="00BA7A07" w:rsidP="00BA7A07">
            <w:pPr>
              <w:spacing w:after="0"/>
              <w:rPr>
                <w:b/>
                <w:szCs w:val="20"/>
              </w:rPr>
            </w:pPr>
            <w:r w:rsidRPr="00F91E1D">
              <w:rPr>
                <w:b/>
                <w:szCs w:val="20"/>
              </w:rPr>
              <w:t>archiv-würdig</w:t>
            </w:r>
          </w:p>
        </w:tc>
        <w:tc>
          <w:tcPr>
            <w:tcW w:w="1134" w:type="dxa"/>
          </w:tcPr>
          <w:p w:rsidR="00BA7A07" w:rsidRPr="00F91E1D" w:rsidRDefault="00BA7A07" w:rsidP="00BA7A07">
            <w:pPr>
              <w:spacing w:after="0"/>
              <w:rPr>
                <w:b/>
                <w:szCs w:val="20"/>
              </w:rPr>
            </w:pPr>
            <w:proofErr w:type="spellStart"/>
            <w:r w:rsidRPr="00F91E1D">
              <w:rPr>
                <w:b/>
                <w:szCs w:val="20"/>
              </w:rPr>
              <w:t>kassabel</w:t>
            </w:r>
            <w:proofErr w:type="spellEnd"/>
          </w:p>
        </w:tc>
        <w:tc>
          <w:tcPr>
            <w:tcW w:w="3544" w:type="dxa"/>
          </w:tcPr>
          <w:p w:rsidR="00BA7A07" w:rsidRPr="00F91E1D" w:rsidRDefault="00BA7A07" w:rsidP="00BA7A07">
            <w:pPr>
              <w:spacing w:after="0"/>
              <w:rPr>
                <w:b/>
                <w:szCs w:val="20"/>
              </w:rPr>
            </w:pPr>
            <w:r w:rsidRPr="00F91E1D">
              <w:rPr>
                <w:b/>
                <w:szCs w:val="20"/>
              </w:rPr>
              <w:t>Hinweise</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Kirchenbücher</w:t>
            </w:r>
          </w:p>
          <w:p w:rsidR="00BA7A07" w:rsidRPr="00F91E1D" w:rsidRDefault="00BA7A07" w:rsidP="00BA7A07">
            <w:pPr>
              <w:spacing w:after="0"/>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p>
        </w:tc>
        <w:tc>
          <w:tcPr>
            <w:tcW w:w="3544" w:type="dxa"/>
          </w:tcPr>
          <w:p w:rsidR="00BA7A07" w:rsidRPr="00F91E1D" w:rsidRDefault="00BA7A07" w:rsidP="00BA7A07">
            <w:pPr>
              <w:spacing w:after="0"/>
              <w:rPr>
                <w:szCs w:val="20"/>
              </w:rPr>
            </w:pP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Urkunden</w:t>
            </w:r>
          </w:p>
          <w:p w:rsidR="00BA7A07" w:rsidRPr="00F91E1D" w:rsidRDefault="00BA7A07" w:rsidP="00BA7A07">
            <w:pPr>
              <w:spacing w:after="0"/>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p>
        </w:tc>
        <w:tc>
          <w:tcPr>
            <w:tcW w:w="3544" w:type="dxa"/>
          </w:tcPr>
          <w:p w:rsidR="00BA7A07" w:rsidRPr="00F91E1D" w:rsidRDefault="00BA7A07" w:rsidP="00BA7A07">
            <w:pPr>
              <w:spacing w:after="0"/>
              <w:rPr>
                <w:szCs w:val="20"/>
              </w:rPr>
            </w:pPr>
          </w:p>
        </w:tc>
      </w:tr>
      <w:tr w:rsidR="00BA7A07" w:rsidRPr="00F91E1D" w:rsidTr="00BA7A07">
        <w:trPr>
          <w:cantSplit/>
        </w:trPr>
        <w:tc>
          <w:tcPr>
            <w:tcW w:w="2830" w:type="dxa"/>
          </w:tcPr>
          <w:p w:rsidR="00BA7A07" w:rsidRDefault="00BA7A07" w:rsidP="00BA7A07">
            <w:pPr>
              <w:spacing w:after="0"/>
              <w:rPr>
                <w:szCs w:val="20"/>
              </w:rPr>
            </w:pPr>
            <w:r w:rsidRPr="00F91E1D">
              <w:rPr>
                <w:szCs w:val="20"/>
              </w:rPr>
              <w:t>Bestände von 1950 oder früher</w:t>
            </w:r>
          </w:p>
          <w:p w:rsidR="0018202D" w:rsidRPr="00F91E1D" w:rsidRDefault="0018202D" w:rsidP="00BA7A07">
            <w:pPr>
              <w:spacing w:after="0"/>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p>
        </w:tc>
        <w:tc>
          <w:tcPr>
            <w:tcW w:w="3544" w:type="dxa"/>
          </w:tcPr>
          <w:p w:rsidR="00BA7A07" w:rsidRPr="00F91E1D" w:rsidRDefault="00BA7A07" w:rsidP="00BA7A07">
            <w:pPr>
              <w:spacing w:after="0"/>
              <w:rPr>
                <w:szCs w:val="20"/>
              </w:rPr>
            </w:pPr>
          </w:p>
        </w:tc>
      </w:tr>
      <w:tr w:rsidR="00BA7A07" w:rsidRPr="00F91E1D" w:rsidTr="00BA7A07">
        <w:trPr>
          <w:cantSplit/>
        </w:trPr>
        <w:tc>
          <w:tcPr>
            <w:tcW w:w="2830" w:type="dxa"/>
          </w:tcPr>
          <w:p w:rsidR="00BA7A07" w:rsidRPr="00F91E1D" w:rsidRDefault="00BA7A07" w:rsidP="004832B7">
            <w:pPr>
              <w:spacing w:after="0"/>
              <w:rPr>
                <w:szCs w:val="20"/>
              </w:rPr>
            </w:pPr>
            <w:r w:rsidRPr="00F91E1D">
              <w:rPr>
                <w:szCs w:val="20"/>
              </w:rPr>
              <w:t>Formular „Anmeldung zur Taufe“</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w:t>
            </w:r>
            <w:proofErr w:type="spellStart"/>
            <w:r w:rsidRPr="00F91E1D">
              <w:rPr>
                <w:szCs w:val="20"/>
              </w:rPr>
              <w:t>Sakramentenspendung</w:t>
            </w:r>
            <w:proofErr w:type="spellEnd"/>
            <w:r w:rsidRPr="00F91E1D">
              <w:rPr>
                <w:szCs w:val="20"/>
              </w:rPr>
              <w:t>, Registereintrag und nächster Visitation</w:t>
            </w:r>
          </w:p>
        </w:tc>
      </w:tr>
      <w:tr w:rsidR="00062083" w:rsidRPr="00F91E1D" w:rsidTr="00BA7A07">
        <w:trPr>
          <w:cantSplit/>
        </w:trPr>
        <w:tc>
          <w:tcPr>
            <w:tcW w:w="2830" w:type="dxa"/>
          </w:tcPr>
          <w:p w:rsidR="00062083" w:rsidRPr="00F91E1D" w:rsidRDefault="00062083" w:rsidP="00BA7A07">
            <w:pPr>
              <w:spacing w:after="0"/>
              <w:rPr>
                <w:szCs w:val="20"/>
              </w:rPr>
            </w:pPr>
            <w:r>
              <w:rPr>
                <w:szCs w:val="20"/>
              </w:rPr>
              <w:t>Formular „Anmeldung zur Erwachsenentaufe</w:t>
            </w:r>
            <w:r w:rsidR="004832B7">
              <w:rPr>
                <w:szCs w:val="20"/>
              </w:rPr>
              <w:t>/ Konversion / Wiederaufnahme</w:t>
            </w:r>
            <w:r>
              <w:rPr>
                <w:szCs w:val="20"/>
              </w:rPr>
              <w:t xml:space="preserve">“ </w:t>
            </w:r>
          </w:p>
        </w:tc>
        <w:tc>
          <w:tcPr>
            <w:tcW w:w="1134" w:type="dxa"/>
          </w:tcPr>
          <w:p w:rsidR="00062083" w:rsidRPr="00F91E1D" w:rsidRDefault="00062083" w:rsidP="00BA7A07">
            <w:pPr>
              <w:spacing w:after="0"/>
              <w:jc w:val="center"/>
              <w:rPr>
                <w:szCs w:val="20"/>
              </w:rPr>
            </w:pPr>
          </w:p>
        </w:tc>
        <w:tc>
          <w:tcPr>
            <w:tcW w:w="1134" w:type="dxa"/>
          </w:tcPr>
          <w:p w:rsidR="00062083" w:rsidRPr="00F91E1D" w:rsidRDefault="00062083" w:rsidP="00BA7A07">
            <w:pPr>
              <w:spacing w:after="0"/>
              <w:jc w:val="center"/>
              <w:rPr>
                <w:szCs w:val="20"/>
              </w:rPr>
            </w:pPr>
            <w:r>
              <w:rPr>
                <w:szCs w:val="20"/>
              </w:rPr>
              <w:t>x</w:t>
            </w:r>
          </w:p>
        </w:tc>
        <w:tc>
          <w:tcPr>
            <w:tcW w:w="3544" w:type="dxa"/>
          </w:tcPr>
          <w:p w:rsidR="00062083" w:rsidRPr="00F91E1D" w:rsidRDefault="002735CD" w:rsidP="00BA7A07">
            <w:pPr>
              <w:spacing w:after="0"/>
              <w:rPr>
                <w:szCs w:val="20"/>
              </w:rPr>
            </w:pPr>
            <w:r>
              <w:rPr>
                <w:szCs w:val="20"/>
              </w:rPr>
              <w:t xml:space="preserve">Nach </w:t>
            </w:r>
            <w:proofErr w:type="spellStart"/>
            <w:r>
              <w:rPr>
                <w:szCs w:val="20"/>
              </w:rPr>
              <w:t>Sakramentenspendung</w:t>
            </w:r>
            <w:proofErr w:type="spellEnd"/>
            <w:r>
              <w:rPr>
                <w:szCs w:val="20"/>
              </w:rPr>
              <w:t xml:space="preserve"> (bzw. Aufnahme) </w:t>
            </w:r>
            <w:r w:rsidR="00062083" w:rsidRPr="00F91E1D">
              <w:rPr>
                <w:szCs w:val="20"/>
              </w:rPr>
              <w:t>Registereintrag und nächster Visitation</w:t>
            </w:r>
          </w:p>
        </w:tc>
      </w:tr>
      <w:tr w:rsidR="00062083" w:rsidRPr="00F91E1D" w:rsidTr="00BA7A07">
        <w:trPr>
          <w:cantSplit/>
        </w:trPr>
        <w:tc>
          <w:tcPr>
            <w:tcW w:w="2830" w:type="dxa"/>
          </w:tcPr>
          <w:p w:rsidR="00062083" w:rsidRPr="00F91E1D" w:rsidRDefault="00062083" w:rsidP="00BA7A07">
            <w:pPr>
              <w:spacing w:after="0"/>
              <w:rPr>
                <w:szCs w:val="20"/>
              </w:rPr>
            </w:pPr>
            <w:r>
              <w:rPr>
                <w:szCs w:val="20"/>
              </w:rPr>
              <w:t>Unterlagen Kirchenaustritt</w:t>
            </w:r>
          </w:p>
        </w:tc>
        <w:tc>
          <w:tcPr>
            <w:tcW w:w="1134" w:type="dxa"/>
          </w:tcPr>
          <w:p w:rsidR="00062083" w:rsidRPr="00F91E1D" w:rsidRDefault="00062083" w:rsidP="00BA7A07">
            <w:pPr>
              <w:spacing w:after="0"/>
              <w:jc w:val="center"/>
              <w:rPr>
                <w:szCs w:val="20"/>
              </w:rPr>
            </w:pPr>
          </w:p>
        </w:tc>
        <w:tc>
          <w:tcPr>
            <w:tcW w:w="1134" w:type="dxa"/>
          </w:tcPr>
          <w:p w:rsidR="00062083" w:rsidRPr="00F91E1D" w:rsidRDefault="00062083" w:rsidP="00BA7A07">
            <w:pPr>
              <w:spacing w:after="0"/>
              <w:jc w:val="center"/>
              <w:rPr>
                <w:szCs w:val="20"/>
              </w:rPr>
            </w:pPr>
            <w:r>
              <w:rPr>
                <w:szCs w:val="20"/>
              </w:rPr>
              <w:t>x</w:t>
            </w:r>
          </w:p>
        </w:tc>
        <w:tc>
          <w:tcPr>
            <w:tcW w:w="3544" w:type="dxa"/>
          </w:tcPr>
          <w:p w:rsidR="00062083" w:rsidRPr="00F91E1D" w:rsidRDefault="00062083" w:rsidP="002735CD">
            <w:pPr>
              <w:spacing w:after="0"/>
              <w:rPr>
                <w:szCs w:val="20"/>
              </w:rPr>
            </w:pPr>
            <w:r w:rsidRPr="00F91E1D">
              <w:rPr>
                <w:szCs w:val="20"/>
              </w:rPr>
              <w:t>Nach Registereintrag und nächster Visitation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Formular „Anmeldung zur Ersten Hl. Kommunion“</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w:t>
            </w:r>
            <w:proofErr w:type="spellStart"/>
            <w:r w:rsidRPr="00F91E1D">
              <w:rPr>
                <w:szCs w:val="20"/>
              </w:rPr>
              <w:t>Sakramentenspendung</w:t>
            </w:r>
            <w:proofErr w:type="spellEnd"/>
            <w:r w:rsidRPr="00F91E1D">
              <w:rPr>
                <w:szCs w:val="20"/>
              </w:rPr>
              <w:t>, Registereintrag und nächster Visitation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Formular „Anmeldung zur Firmung“</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w:t>
            </w:r>
            <w:proofErr w:type="spellStart"/>
            <w:r w:rsidRPr="00F91E1D">
              <w:rPr>
                <w:szCs w:val="20"/>
              </w:rPr>
              <w:t>Sakramentenspendung</w:t>
            </w:r>
            <w:proofErr w:type="spellEnd"/>
            <w:r w:rsidRPr="00F91E1D">
              <w:rPr>
                <w:szCs w:val="20"/>
              </w:rPr>
              <w:t>, Registereintrag und nächster Visitation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Brauexamensniederschrift/ Anmeldung zur Trauung</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p w:rsidR="00BA7A07" w:rsidRPr="00F91E1D" w:rsidRDefault="00BA7A07" w:rsidP="00BA7A07">
            <w:pPr>
              <w:spacing w:after="0"/>
              <w:jc w:val="center"/>
              <w:rPr>
                <w:szCs w:val="20"/>
              </w:rPr>
            </w:pPr>
          </w:p>
        </w:tc>
        <w:tc>
          <w:tcPr>
            <w:tcW w:w="3544" w:type="dxa"/>
          </w:tcPr>
          <w:p w:rsidR="00BA7A07" w:rsidRPr="00F91E1D" w:rsidRDefault="0018202D" w:rsidP="00BA7A07">
            <w:pPr>
              <w:spacing w:after="0"/>
              <w:rPr>
                <w:szCs w:val="20"/>
              </w:rPr>
            </w:pPr>
            <w:r>
              <w:rPr>
                <w:b/>
                <w:szCs w:val="20"/>
              </w:rPr>
              <w:t>8</w:t>
            </w:r>
            <w:r w:rsidR="00BA7A07" w:rsidRPr="00F91E1D">
              <w:rPr>
                <w:b/>
                <w:szCs w:val="20"/>
              </w:rPr>
              <w:t>0 Jahre</w:t>
            </w:r>
            <w:r w:rsidR="00BA7A07" w:rsidRPr="00F91E1D">
              <w:rPr>
                <w:szCs w:val="20"/>
              </w:rPr>
              <w:t xml:space="preserve"> nach </w:t>
            </w:r>
            <w:proofErr w:type="spellStart"/>
            <w:r w:rsidR="00BA7A07" w:rsidRPr="00F91E1D">
              <w:rPr>
                <w:szCs w:val="20"/>
              </w:rPr>
              <w:t>Sakramentenspendung</w:t>
            </w:r>
            <w:proofErr w:type="spellEnd"/>
            <w:r w:rsidR="00BA7A07" w:rsidRPr="00F91E1D">
              <w:rPr>
                <w:szCs w:val="20"/>
              </w:rPr>
              <w:t xml:space="preserve">; </w:t>
            </w:r>
            <w:r w:rsidR="00BA7A07" w:rsidRPr="00F91E1D">
              <w:rPr>
                <w:szCs w:val="20"/>
              </w:rPr>
              <w:br/>
              <w:t>Brautexamensniederschriften bilden eine Ausnahme, weil sie u.U. für Ehenichtigkeitsverfahren gebraucht werden.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Standesamtliche Sterbebescheinigungen</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Nach Beerdigung, Registereintrag und nächster Visitation</w:t>
            </w:r>
          </w:p>
        </w:tc>
      </w:tr>
      <w:tr w:rsidR="00BA7A07" w:rsidRPr="00F91E1D" w:rsidTr="00BA7A07">
        <w:trPr>
          <w:cantSplit/>
        </w:trPr>
        <w:tc>
          <w:tcPr>
            <w:tcW w:w="2830" w:type="dxa"/>
          </w:tcPr>
          <w:p w:rsidR="00BA7A07" w:rsidRDefault="00BA7A07" w:rsidP="00BA7A07">
            <w:pPr>
              <w:spacing w:after="0"/>
              <w:rPr>
                <w:szCs w:val="20"/>
              </w:rPr>
            </w:pPr>
            <w:r w:rsidRPr="00F91E1D">
              <w:rPr>
                <w:szCs w:val="20"/>
              </w:rPr>
              <w:lastRenderedPageBreak/>
              <w:t>Kontoauszüge</w:t>
            </w:r>
          </w:p>
          <w:p w:rsidR="004F09F0" w:rsidRPr="00F91E1D" w:rsidRDefault="004F09F0" w:rsidP="00BA7A07">
            <w:pPr>
              <w:spacing w:after="0"/>
              <w:rPr>
                <w:szCs w:val="20"/>
              </w:rPr>
            </w:pP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außer: runde Jahrgänge</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Rechnungen zu Baumaßnahmen</w:t>
            </w: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p>
        </w:tc>
        <w:tc>
          <w:tcPr>
            <w:tcW w:w="3544" w:type="dxa"/>
          </w:tcPr>
          <w:p w:rsidR="00BA7A07" w:rsidRPr="00F91E1D" w:rsidRDefault="00BA7A07" w:rsidP="004F09F0">
            <w:pPr>
              <w:spacing w:after="0"/>
              <w:rPr>
                <w:szCs w:val="20"/>
              </w:rPr>
            </w:pPr>
            <w:r w:rsidRPr="00F91E1D">
              <w:rPr>
                <w:szCs w:val="20"/>
              </w:rPr>
              <w:t xml:space="preserve">Sind Teil der Bauakte </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Angebote nicht berücksichtigter Firmen</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Nach Bauabschlussrechnung</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Rechnungen (</w:t>
            </w:r>
            <w:r w:rsidRPr="00F91E1D">
              <w:rPr>
                <w:b/>
                <w:szCs w:val="20"/>
              </w:rPr>
              <w:t xml:space="preserve">ohne </w:t>
            </w:r>
            <w:r w:rsidRPr="00F91E1D">
              <w:rPr>
                <w:szCs w:val="20"/>
              </w:rPr>
              <w:t>geschichtserheblichen Inhalt)</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außer: runde Jahrgänge</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Rechnungen (</w:t>
            </w:r>
            <w:r w:rsidRPr="00F91E1D">
              <w:rPr>
                <w:b/>
                <w:szCs w:val="20"/>
              </w:rPr>
              <w:t xml:space="preserve">mit </w:t>
            </w:r>
            <w:r w:rsidRPr="00F91E1D">
              <w:rPr>
                <w:szCs w:val="20"/>
              </w:rPr>
              <w:t>geschichtserheblichen Inhalt)</w:t>
            </w: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p>
        </w:tc>
        <w:tc>
          <w:tcPr>
            <w:tcW w:w="3544" w:type="dxa"/>
          </w:tcPr>
          <w:p w:rsidR="00BA7A07" w:rsidRPr="00F91E1D" w:rsidRDefault="00BA7A07" w:rsidP="00BA7A07">
            <w:pPr>
              <w:spacing w:after="0"/>
              <w:rPr>
                <w:szCs w:val="20"/>
              </w:rPr>
            </w:pP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Sammellisten und Spenden-bescheinigungen</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4F09F0" w:rsidP="00BA7A07">
            <w:pPr>
              <w:spacing w:after="0"/>
              <w:jc w:val="center"/>
              <w:rPr>
                <w:szCs w:val="20"/>
              </w:rPr>
            </w:pPr>
            <w:r>
              <w:rPr>
                <w:szCs w:val="20"/>
              </w:rPr>
              <w:t>x</w:t>
            </w:r>
          </w:p>
        </w:tc>
        <w:tc>
          <w:tcPr>
            <w:tcW w:w="3544" w:type="dxa"/>
          </w:tcPr>
          <w:p w:rsidR="00BA7A07" w:rsidRPr="00F91E1D" w:rsidRDefault="004F09F0" w:rsidP="00BA7A07">
            <w:pPr>
              <w:spacing w:after="0"/>
              <w:rPr>
                <w:szCs w:val="20"/>
              </w:rPr>
            </w:pPr>
            <w:r w:rsidRPr="00F91E1D">
              <w:rPr>
                <w:szCs w:val="20"/>
              </w:rPr>
              <w:t xml:space="preserve">Nach 10 Jahren, </w:t>
            </w:r>
            <w:r w:rsidRPr="00F91E1D">
              <w:rPr>
                <w:b/>
                <w:szCs w:val="20"/>
              </w:rPr>
              <w:t>außer: runde Jahrgänge</w:t>
            </w:r>
          </w:p>
        </w:tc>
      </w:tr>
      <w:tr w:rsidR="00BA7A07" w:rsidRPr="00F91E1D" w:rsidTr="00BA7A07">
        <w:trPr>
          <w:cantSplit/>
        </w:trPr>
        <w:tc>
          <w:tcPr>
            <w:tcW w:w="2830" w:type="dxa"/>
          </w:tcPr>
          <w:p w:rsidR="00BA7A07" w:rsidRPr="00F91E1D" w:rsidRDefault="00BA7A07" w:rsidP="000340C1">
            <w:pPr>
              <w:spacing w:after="0"/>
              <w:rPr>
                <w:szCs w:val="20"/>
              </w:rPr>
            </w:pPr>
            <w:proofErr w:type="spellStart"/>
            <w:r w:rsidRPr="00F91E1D">
              <w:rPr>
                <w:szCs w:val="20"/>
              </w:rPr>
              <w:t>Hauungspläne</w:t>
            </w:r>
            <w:proofErr w:type="spellEnd"/>
            <w:r w:rsidR="000340C1">
              <w:rPr>
                <w:szCs w:val="20"/>
              </w:rPr>
              <w:t xml:space="preserve"> (</w:t>
            </w:r>
            <w:r w:rsidR="000340C1" w:rsidRPr="000340C1">
              <w:rPr>
                <w:rFonts w:cs="Arial"/>
                <w:color w:val="000000"/>
                <w:szCs w:val="20"/>
              </w:rPr>
              <w:t>Von der Forsteinrichtung innerhalb des</w:t>
            </w:r>
            <w:r w:rsidR="000340C1">
              <w:rPr>
                <w:rFonts w:cs="Arial"/>
                <w:color w:val="000000"/>
                <w:szCs w:val="20"/>
              </w:rPr>
              <w:t xml:space="preserve"> Planungszeitraumes räumlich u.</w:t>
            </w:r>
            <w:r w:rsidR="000340C1" w:rsidRPr="000340C1">
              <w:rPr>
                <w:rFonts w:cs="Arial"/>
                <w:color w:val="000000"/>
                <w:szCs w:val="20"/>
              </w:rPr>
              <w:t xml:space="preserve"> zeitlich geplante </w:t>
            </w:r>
            <w:r w:rsidR="000340C1">
              <w:rPr>
                <w:rFonts w:cs="Arial"/>
                <w:color w:val="000000"/>
                <w:szCs w:val="20"/>
              </w:rPr>
              <w:t>N</w:t>
            </w:r>
            <w:r w:rsidR="000340C1" w:rsidRPr="000340C1">
              <w:rPr>
                <w:rFonts w:cs="Arial"/>
                <w:color w:val="000000"/>
                <w:szCs w:val="20"/>
              </w:rPr>
              <w:t>utzungen</w:t>
            </w:r>
            <w:r w:rsidR="000340C1">
              <w:rPr>
                <w:rFonts w:cs="Arial"/>
                <w:color w:val="000000"/>
                <w:szCs w:val="20"/>
              </w:rPr>
              <w:t>)</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4F09F0" w:rsidP="00BA7A07">
            <w:pPr>
              <w:spacing w:after="0"/>
              <w:jc w:val="center"/>
              <w:rPr>
                <w:szCs w:val="20"/>
              </w:rPr>
            </w:pPr>
            <w:r>
              <w:rPr>
                <w:szCs w:val="20"/>
              </w:rPr>
              <w:t>x</w:t>
            </w:r>
          </w:p>
        </w:tc>
        <w:tc>
          <w:tcPr>
            <w:tcW w:w="3544" w:type="dxa"/>
          </w:tcPr>
          <w:p w:rsidR="00BA7A07" w:rsidRPr="00F91E1D" w:rsidRDefault="00BA7A07" w:rsidP="00BA7A07">
            <w:pPr>
              <w:spacing w:after="0"/>
              <w:rPr>
                <w:b/>
                <w:szCs w:val="20"/>
              </w:rPr>
            </w:pPr>
            <w:r w:rsidRPr="00F91E1D">
              <w:rPr>
                <w:szCs w:val="20"/>
              </w:rPr>
              <w:t xml:space="preserve">Nach 10 Jahren, </w:t>
            </w:r>
            <w:r w:rsidRPr="00F91E1D">
              <w:rPr>
                <w:b/>
                <w:szCs w:val="20"/>
              </w:rPr>
              <w:t>außer: runde  und halbrunde Jahrgänge</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Kassenprüfungsberichte</w:t>
            </w:r>
          </w:p>
        </w:tc>
        <w:tc>
          <w:tcPr>
            <w:tcW w:w="1134" w:type="dxa"/>
          </w:tcPr>
          <w:p w:rsidR="00BA7A07" w:rsidRPr="00F91E1D" w:rsidRDefault="00BA7A07" w:rsidP="00BA7A07">
            <w:pPr>
              <w:spacing w:after="0"/>
              <w:jc w:val="center"/>
              <w:rPr>
                <w:szCs w:val="20"/>
              </w:rPr>
            </w:pPr>
            <w:r w:rsidRPr="00F91E1D">
              <w:rPr>
                <w:szCs w:val="20"/>
              </w:rPr>
              <w:t>x</w:t>
            </w: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 xml:space="preserve">außer: Vorgänge mit beachtenswerten Beanstandungen; </w:t>
            </w:r>
            <w:r w:rsidRPr="00F91E1D">
              <w:rPr>
                <w:szCs w:val="20"/>
              </w:rPr>
              <w:t>dann auch Kassenbericht aufbewahren</w:t>
            </w:r>
          </w:p>
        </w:tc>
      </w:tr>
      <w:tr w:rsidR="00BA7A07" w:rsidRPr="00F91E1D" w:rsidTr="00BA7A07">
        <w:trPr>
          <w:cantSplit/>
        </w:trPr>
        <w:tc>
          <w:tcPr>
            <w:tcW w:w="2830" w:type="dxa"/>
          </w:tcPr>
          <w:p w:rsidR="00BA7A07" w:rsidRDefault="00BA7A07" w:rsidP="00BA7A07">
            <w:pPr>
              <w:spacing w:after="0"/>
              <w:rPr>
                <w:szCs w:val="20"/>
              </w:rPr>
            </w:pPr>
            <w:r w:rsidRPr="00F91E1D">
              <w:rPr>
                <w:szCs w:val="20"/>
              </w:rPr>
              <w:t>Aufstellung Haushaltspläne</w:t>
            </w:r>
          </w:p>
          <w:p w:rsidR="0018202D" w:rsidRPr="00F91E1D" w:rsidRDefault="0018202D" w:rsidP="00BA7A07">
            <w:pPr>
              <w:spacing w:after="0"/>
              <w:rPr>
                <w:szCs w:val="20"/>
              </w:rPr>
            </w:pP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außer: runde Jahrgänge</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Haushaltspläne</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nach Klärung mit Gemeindeverband jeden 10. Jahrgang archivieren</w:t>
            </w:r>
          </w:p>
        </w:tc>
      </w:tr>
      <w:tr w:rsidR="00BA7A07" w:rsidRPr="00F91E1D" w:rsidTr="00BA7A07">
        <w:trPr>
          <w:cantSplit/>
          <w:trHeight w:val="971"/>
        </w:trPr>
        <w:tc>
          <w:tcPr>
            <w:tcW w:w="2830" w:type="dxa"/>
          </w:tcPr>
          <w:p w:rsidR="00BA7A07" w:rsidRPr="00F91E1D" w:rsidRDefault="00BA7A07" w:rsidP="00BA7A07">
            <w:pPr>
              <w:spacing w:after="0"/>
              <w:rPr>
                <w:szCs w:val="20"/>
              </w:rPr>
            </w:pPr>
            <w:r w:rsidRPr="00F91E1D">
              <w:rPr>
                <w:szCs w:val="20"/>
              </w:rPr>
              <w:t>Belege zur Jahresrechnung</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nach Klärung mit Gemeindeverband jeden 10. Jahrgang archivieren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Rechnungsprüfung</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4F09F0" w:rsidP="00BA7A07">
            <w:pPr>
              <w:spacing w:after="0"/>
              <w:jc w:val="center"/>
              <w:rPr>
                <w:szCs w:val="20"/>
              </w:rPr>
            </w:pPr>
            <w:r>
              <w:rPr>
                <w:szCs w:val="20"/>
              </w:rPr>
              <w:t>x</w:t>
            </w:r>
          </w:p>
        </w:tc>
        <w:tc>
          <w:tcPr>
            <w:tcW w:w="3544" w:type="dxa"/>
          </w:tcPr>
          <w:p w:rsidR="00BA7A07" w:rsidRPr="00F91E1D" w:rsidRDefault="00BA7A07" w:rsidP="00BA7A07">
            <w:pPr>
              <w:spacing w:after="0"/>
              <w:rPr>
                <w:szCs w:val="20"/>
              </w:rPr>
            </w:pPr>
            <w:r w:rsidRPr="00F91E1D">
              <w:rPr>
                <w:szCs w:val="20"/>
              </w:rPr>
              <w:t xml:space="preserve">Nach 10 Jahren; </w:t>
            </w:r>
            <w:r w:rsidRPr="00F91E1D">
              <w:rPr>
                <w:b/>
                <w:szCs w:val="20"/>
              </w:rPr>
              <w:t>nach Absprache mit Gemeindeverband Vorgänge mit beachtenswerten Beanstandungen aufheben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 xml:space="preserve">Stimmzettel, </w:t>
            </w:r>
            <w:proofErr w:type="spellStart"/>
            <w:r w:rsidRPr="00F91E1D">
              <w:rPr>
                <w:szCs w:val="20"/>
              </w:rPr>
              <w:t>Wählerver-zeichnis</w:t>
            </w:r>
            <w:proofErr w:type="spellEnd"/>
            <w:r w:rsidRPr="00F91E1D">
              <w:rPr>
                <w:szCs w:val="20"/>
              </w:rPr>
              <w:t xml:space="preserve"> PGR</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Stimmzettel der letzten Wahlperiode nach unanfechtbar rechtskräftigen Amtsantritt des neuen PGR (= 4 Jahre und einige Wochen);</w:t>
            </w:r>
          </w:p>
          <w:p w:rsidR="00BA7A07" w:rsidRPr="00F91E1D" w:rsidRDefault="00BA7A07" w:rsidP="00BA7A07">
            <w:pPr>
              <w:spacing w:after="0"/>
              <w:rPr>
                <w:b/>
                <w:szCs w:val="20"/>
              </w:rPr>
            </w:pPr>
            <w:r w:rsidRPr="00F91E1D">
              <w:rPr>
                <w:b/>
                <w:szCs w:val="20"/>
              </w:rPr>
              <w:t>1 Musterstimmzettel und Wahl-protokoll aufheben</w:t>
            </w:r>
          </w:p>
        </w:tc>
      </w:tr>
      <w:tr w:rsidR="00BA7A07" w:rsidRPr="00F91E1D" w:rsidTr="00BA7A07">
        <w:trPr>
          <w:cantSplit/>
        </w:trPr>
        <w:tc>
          <w:tcPr>
            <w:tcW w:w="2830" w:type="dxa"/>
          </w:tcPr>
          <w:p w:rsidR="00BA7A07" w:rsidRPr="00F91E1D" w:rsidRDefault="00BA7A07" w:rsidP="00BA7A07">
            <w:pPr>
              <w:spacing w:after="0"/>
              <w:rPr>
                <w:szCs w:val="20"/>
              </w:rPr>
            </w:pPr>
            <w:r w:rsidRPr="00F91E1D">
              <w:rPr>
                <w:szCs w:val="20"/>
              </w:rPr>
              <w:t xml:space="preserve">Stimmzettel, </w:t>
            </w:r>
            <w:proofErr w:type="spellStart"/>
            <w:r w:rsidRPr="00F91E1D">
              <w:rPr>
                <w:szCs w:val="20"/>
              </w:rPr>
              <w:t>Wählerver-zeichnis</w:t>
            </w:r>
            <w:proofErr w:type="spellEnd"/>
            <w:r w:rsidRPr="00F91E1D">
              <w:rPr>
                <w:szCs w:val="20"/>
              </w:rPr>
              <w:t xml:space="preserve"> KV</w:t>
            </w:r>
          </w:p>
        </w:tc>
        <w:tc>
          <w:tcPr>
            <w:tcW w:w="1134" w:type="dxa"/>
          </w:tcPr>
          <w:p w:rsidR="00BA7A07" w:rsidRPr="00F91E1D" w:rsidRDefault="00BA7A07" w:rsidP="00BA7A07">
            <w:pPr>
              <w:spacing w:after="0"/>
              <w:jc w:val="center"/>
              <w:rPr>
                <w:szCs w:val="20"/>
              </w:rPr>
            </w:pPr>
          </w:p>
        </w:tc>
        <w:tc>
          <w:tcPr>
            <w:tcW w:w="1134" w:type="dxa"/>
          </w:tcPr>
          <w:p w:rsidR="00BA7A07" w:rsidRPr="00F91E1D" w:rsidRDefault="00BA7A07" w:rsidP="00BA7A07">
            <w:pPr>
              <w:spacing w:after="0"/>
              <w:jc w:val="center"/>
              <w:rPr>
                <w:szCs w:val="20"/>
              </w:rPr>
            </w:pPr>
            <w:r w:rsidRPr="00F91E1D">
              <w:rPr>
                <w:szCs w:val="20"/>
              </w:rPr>
              <w:t>x</w:t>
            </w:r>
          </w:p>
        </w:tc>
        <w:tc>
          <w:tcPr>
            <w:tcW w:w="3544" w:type="dxa"/>
          </w:tcPr>
          <w:p w:rsidR="00BA7A07" w:rsidRPr="00F91E1D" w:rsidRDefault="00BA7A07" w:rsidP="00BA7A07">
            <w:pPr>
              <w:spacing w:after="0"/>
              <w:rPr>
                <w:szCs w:val="20"/>
              </w:rPr>
            </w:pPr>
            <w:r w:rsidRPr="00F91E1D">
              <w:rPr>
                <w:szCs w:val="20"/>
              </w:rPr>
              <w:t>Nach Beginn der neuen Wahlperiode (= 6 Jahre und einige Wochen);</w:t>
            </w:r>
          </w:p>
          <w:p w:rsidR="00BA7A07" w:rsidRPr="00F91E1D" w:rsidRDefault="00BA7A07" w:rsidP="00BA7A07">
            <w:pPr>
              <w:spacing w:after="0"/>
              <w:rPr>
                <w:b/>
                <w:szCs w:val="20"/>
              </w:rPr>
            </w:pPr>
            <w:r w:rsidRPr="00F91E1D">
              <w:rPr>
                <w:b/>
                <w:szCs w:val="20"/>
              </w:rPr>
              <w:t>1 Musterstimmzettel und Wahl-protokoll aufheben</w:t>
            </w:r>
          </w:p>
        </w:tc>
      </w:tr>
    </w:tbl>
    <w:p w:rsidR="006C5A47" w:rsidRDefault="006C5A47" w:rsidP="00CD5377"/>
    <w:p w:rsidR="006C5A47" w:rsidRDefault="000A107A" w:rsidP="006C5A47">
      <w:pPr>
        <w:pStyle w:val="berschrift2"/>
      </w:pPr>
      <w:r>
        <w:sym w:font="Wingdings" w:char="F06E"/>
      </w:r>
      <w:r>
        <w:t xml:space="preserve"> </w:t>
      </w:r>
      <w:r w:rsidR="006C5A47">
        <w:t>Weitere Informationen:</w:t>
      </w:r>
    </w:p>
    <w:p w:rsidR="000340C1" w:rsidRDefault="00BA7A07" w:rsidP="00BA7A07">
      <w:pPr>
        <w:spacing w:after="160" w:line="259" w:lineRule="auto"/>
        <w:rPr>
          <w:szCs w:val="20"/>
        </w:rPr>
      </w:pPr>
      <w:r w:rsidRPr="00F91E1D">
        <w:rPr>
          <w:szCs w:val="20"/>
        </w:rPr>
        <w:t xml:space="preserve">Bei der </w:t>
      </w:r>
      <w:proofErr w:type="spellStart"/>
      <w:r w:rsidRPr="00F91E1D">
        <w:rPr>
          <w:szCs w:val="20"/>
        </w:rPr>
        <w:t>archivischen</w:t>
      </w:r>
      <w:proofErr w:type="spellEnd"/>
      <w:r w:rsidRPr="00F91E1D">
        <w:rPr>
          <w:szCs w:val="20"/>
        </w:rPr>
        <w:t xml:space="preserve"> Bewertung des Schriftguts ist das Archiv des Erzbischöflichen Generalvikariats behilflich (Ansprechpartner: Michael Streit, Tel.: 05251/125-1666, E-Mail: </w:t>
      </w:r>
      <w:hyperlink r:id="rId15" w:history="1">
        <w:r w:rsidRPr="00F91E1D">
          <w:rPr>
            <w:szCs w:val="20"/>
          </w:rPr>
          <w:t>Michael.Streit@erzbistum-paderborn.de</w:t>
        </w:r>
      </w:hyperlink>
      <w:r w:rsidRPr="00F91E1D">
        <w:rPr>
          <w:szCs w:val="20"/>
        </w:rPr>
        <w:t>).</w:t>
      </w:r>
    </w:p>
    <w:p w:rsidR="000340C1" w:rsidRDefault="00E962FF" w:rsidP="00BA7A07">
      <w:pPr>
        <w:spacing w:after="160" w:line="259" w:lineRule="auto"/>
        <w:rPr>
          <w:rStyle w:val="Hyperlink"/>
          <w:szCs w:val="20"/>
        </w:rPr>
      </w:pPr>
      <w:hyperlink r:id="rId16" w:history="1">
        <w:r w:rsidR="000340C1" w:rsidRPr="000340C1">
          <w:rPr>
            <w:rStyle w:val="Hyperlink"/>
            <w:szCs w:val="20"/>
          </w:rPr>
          <w:t>s. auch Kirchliche Archivordnung</w:t>
        </w:r>
      </w:hyperlink>
    </w:p>
    <w:p w:rsidR="00E962FF" w:rsidRDefault="00E962FF" w:rsidP="00BA7A07">
      <w:pPr>
        <w:spacing w:after="160" w:line="259" w:lineRule="auto"/>
        <w:rPr>
          <w:rStyle w:val="Hyperlink"/>
          <w:color w:val="auto"/>
          <w:szCs w:val="20"/>
          <w:u w:val="none"/>
        </w:rPr>
      </w:pPr>
      <w:r w:rsidRPr="00E962FF">
        <w:rPr>
          <w:rStyle w:val="Hyperlink"/>
          <w:b/>
          <w:color w:val="auto"/>
          <w:szCs w:val="20"/>
          <w:u w:val="none"/>
        </w:rPr>
        <w:t>Hinweis des Erzbistumsarchivs:</w:t>
      </w:r>
      <w:r>
        <w:rPr>
          <w:rStyle w:val="Hyperlink"/>
          <w:color w:val="auto"/>
          <w:szCs w:val="20"/>
          <w:u w:val="none"/>
        </w:rPr>
        <w:t xml:space="preserve"> Die Kopien der jährlichen Statistiken der Kirchengemeinden sollten archiviert (d.h. dauerhaft aufgehoben) werden. In den Statistikbögen sind alle relevanten Daten der Kirchengemeinden kompakt erfasst. Wenn die Statistikbögen im Archiv der Kirchengemeinden bzw. des Pastoralen Raums sind, kann jederzeit schnell auf die Daten zugegriffen werden, ohne dass sie aus einer Gesamtstatistik wieder herausgefiltert werden müssen.</w:t>
      </w:r>
    </w:p>
    <w:p w:rsidR="00E962FF" w:rsidRPr="00E962FF" w:rsidRDefault="00E962FF" w:rsidP="00BA7A07">
      <w:pPr>
        <w:spacing w:after="160" w:line="259" w:lineRule="auto"/>
        <w:rPr>
          <w:szCs w:val="20"/>
        </w:rPr>
      </w:pPr>
    </w:p>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lastRenderedPageBreak/>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bl>
    <w:p w:rsidR="007417FD" w:rsidRDefault="007417FD" w:rsidP="000340C1">
      <w:bookmarkStart w:id="0" w:name="_GoBack"/>
      <w:bookmarkEnd w:id="0"/>
    </w:p>
    <w:sectPr w:rsidR="007417FD" w:rsidSect="000F01D5">
      <w:footerReference w:type="even" r:id="rId17"/>
      <w:footerReference w:type="default" r:id="rId18"/>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07" w:rsidRDefault="00BA7A07" w:rsidP="00C74538">
      <w:pPr>
        <w:spacing w:after="0"/>
      </w:pPr>
      <w:r>
        <w:separator/>
      </w:r>
    </w:p>
  </w:endnote>
  <w:endnote w:type="continuationSeparator" w:id="0">
    <w:p w:rsidR="00BA7A07" w:rsidRDefault="00BA7A07"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E962FF" w:rsidP="00C100A1">
    <w:pPr>
      <w:pStyle w:val="Fuzeile"/>
    </w:pPr>
    <w:r>
      <w:fldChar w:fldCharType="begin"/>
    </w:r>
    <w:r>
      <w:instrText xml:space="preserve"> FILENAME   \* MERGEFORMAT </w:instrText>
    </w:r>
    <w:r>
      <w:fldChar w:fldCharType="separate"/>
    </w:r>
    <w:r w:rsidR="00BA7A07">
      <w:rPr>
        <w:noProof/>
      </w:rPr>
      <w:t>Dokument19</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BA7A07">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0340C1" w:rsidP="00912B79">
    <w:pPr>
      <w:pStyle w:val="Fuzeile"/>
      <w:jc w:val="center"/>
      <w:rPr>
        <w:noProof/>
      </w:rPr>
    </w:pPr>
    <w:fldSimple w:instr=" FILENAME   \* MERGEFORMAT ">
      <w:r w:rsidR="00F0578D">
        <w:rPr>
          <w:noProof/>
        </w:rPr>
        <w:t>B.4.2.4 Kassation.docx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E962FF">
      <w:rPr>
        <w:b/>
        <w:bCs/>
        <w:noProof/>
      </w:rPr>
      <w:t>3</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E962FF">
      <w:rPr>
        <w:b/>
        <w:bCs/>
        <w:noProof/>
      </w:rPr>
      <w:t>3</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07" w:rsidRDefault="00BA7A07" w:rsidP="00C74538">
      <w:pPr>
        <w:spacing w:after="0"/>
      </w:pPr>
      <w:r>
        <w:separator/>
      </w:r>
    </w:p>
  </w:footnote>
  <w:footnote w:type="continuationSeparator" w:id="0">
    <w:p w:rsidR="00BA7A07" w:rsidRDefault="00BA7A07"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07"/>
    <w:rsid w:val="0002278F"/>
    <w:rsid w:val="000340C1"/>
    <w:rsid w:val="00062083"/>
    <w:rsid w:val="0006355F"/>
    <w:rsid w:val="000A107A"/>
    <w:rsid w:val="000F01D5"/>
    <w:rsid w:val="0018202D"/>
    <w:rsid w:val="00225F03"/>
    <w:rsid w:val="00235CB3"/>
    <w:rsid w:val="002735CD"/>
    <w:rsid w:val="00344EA7"/>
    <w:rsid w:val="003B7D90"/>
    <w:rsid w:val="00462781"/>
    <w:rsid w:val="004832B7"/>
    <w:rsid w:val="004B5665"/>
    <w:rsid w:val="004F09F0"/>
    <w:rsid w:val="0051580E"/>
    <w:rsid w:val="00583879"/>
    <w:rsid w:val="005D4372"/>
    <w:rsid w:val="006C5A47"/>
    <w:rsid w:val="00706CB7"/>
    <w:rsid w:val="007417FD"/>
    <w:rsid w:val="007C5172"/>
    <w:rsid w:val="00912B79"/>
    <w:rsid w:val="00936DEB"/>
    <w:rsid w:val="00951EB1"/>
    <w:rsid w:val="00965DD2"/>
    <w:rsid w:val="009B649A"/>
    <w:rsid w:val="00A74608"/>
    <w:rsid w:val="00AA37D8"/>
    <w:rsid w:val="00B24499"/>
    <w:rsid w:val="00B75F0A"/>
    <w:rsid w:val="00B94016"/>
    <w:rsid w:val="00BA7A07"/>
    <w:rsid w:val="00C100A1"/>
    <w:rsid w:val="00C241C1"/>
    <w:rsid w:val="00C549C0"/>
    <w:rsid w:val="00C609AE"/>
    <w:rsid w:val="00C74538"/>
    <w:rsid w:val="00CD5377"/>
    <w:rsid w:val="00DB21B0"/>
    <w:rsid w:val="00E962FF"/>
    <w:rsid w:val="00EC1D8F"/>
    <w:rsid w:val="00EE3473"/>
    <w:rsid w:val="00F0578D"/>
    <w:rsid w:val="00F91E1D"/>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76D6EBA-2B3A-4A56-8818-7A9DA19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7D8"/>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034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wikipedia.org/wiki/Datenschut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Archivwes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rzbistum-paderborn.de/medien/20392/original/660/Stueck-5-05-20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Archivische_Bewertung" TargetMode="External"/><Relationship Id="rId5" Type="http://schemas.openxmlformats.org/officeDocument/2006/relationships/webSettings" Target="webSettings.xml"/><Relationship Id="rId15" Type="http://schemas.openxmlformats.org/officeDocument/2006/relationships/hyperlink" Target="mailto:Michael.Streit@erzbistum-paderborn.de" TargetMode="External"/><Relationship Id="rId10" Type="http://schemas.openxmlformats.org/officeDocument/2006/relationships/hyperlink" Target="https://de.wikipedia.org/wiki/Datenschut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wikipedia.org/wiki/Archivwesen" TargetMode="External"/><Relationship Id="rId14" Type="http://schemas.openxmlformats.org/officeDocument/2006/relationships/hyperlink" Target="https://de.wikipedia.org/wiki/Archivische_Bewert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FA22-0605-4E10-9B75-8DF1F184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Bernhardine Freitag</cp:lastModifiedBy>
  <cp:revision>10</cp:revision>
  <dcterms:created xsi:type="dcterms:W3CDTF">2015-11-13T09:45:00Z</dcterms:created>
  <dcterms:modified xsi:type="dcterms:W3CDTF">2017-01-30T13:54:00Z</dcterms:modified>
</cp:coreProperties>
</file>