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78" w:rsidRDefault="00EE6ED8">
      <w:pPr>
        <w:pStyle w:val="Other0"/>
        <w:framePr w:wrap="none" w:vAnchor="page" w:hAnchor="page" w:x="5806" w:y="619"/>
        <w:shd w:val="clear" w:color="auto" w:fill="auto"/>
        <w:spacing w:line="220" w:lineRule="exact"/>
        <w:jc w:val="both"/>
      </w:pPr>
      <w:bookmarkStart w:id="0" w:name="_GoBack"/>
      <w:bookmarkEnd w:id="0"/>
      <w:r>
        <w:rPr>
          <w:rStyle w:val="OtherArial11pt"/>
        </w:rPr>
        <w:t>3</w:t>
      </w:r>
    </w:p>
    <w:p w:rsidR="00043278" w:rsidRDefault="00EE6ED8">
      <w:pPr>
        <w:pStyle w:val="Heading10"/>
        <w:framePr w:w="9144" w:h="13875" w:hRule="exact" w:wrap="none" w:vAnchor="page" w:hAnchor="page" w:x="1304" w:y="1553"/>
        <w:shd w:val="clear" w:color="auto" w:fill="auto"/>
        <w:spacing w:after="274"/>
        <w:ind w:left="20" w:firstLine="0"/>
      </w:pPr>
      <w:bookmarkStart w:id="1" w:name="bookmark0"/>
      <w:r>
        <w:t>Artikel 6: Genehmigungspflicht der Beschlüsse des</w:t>
      </w:r>
      <w:r>
        <w:br/>
        <w:t>Kirchenvorstandes durch die Staatsbehörde</w:t>
      </w:r>
      <w:bookmarkEnd w:id="1"/>
    </w:p>
    <w:p w:rsidR="00043278" w:rsidRDefault="00EE6ED8">
      <w:pPr>
        <w:pStyle w:val="Bodytext20"/>
        <w:framePr w:w="9144" w:h="13875" w:hRule="exact" w:wrap="none" w:vAnchor="page" w:hAnchor="page" w:x="1304" w:y="1553"/>
        <w:shd w:val="clear" w:color="auto" w:fill="auto"/>
        <w:spacing w:before="0"/>
        <w:ind w:left="320" w:hanging="320"/>
      </w:pPr>
      <w:r>
        <w:t>Nach § 15 des Gesetzes über die Verwaltung des katholischen Kirchenvermögens vom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shd w:val="clear" w:color="auto" w:fill="auto"/>
        <w:spacing w:before="0" w:after="260"/>
        <w:ind w:left="320" w:hanging="320"/>
      </w:pPr>
      <w:r>
        <w:t xml:space="preserve">24,07.1924 bedürfen die Beschlüsse der Genehmigung der Staatsbehörde </w:t>
      </w:r>
      <w:r>
        <w:t>insbesondere bei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1"/>
        </w:numPr>
        <w:shd w:val="clear" w:color="auto" w:fill="auto"/>
        <w:tabs>
          <w:tab w:val="left" w:pos="321"/>
        </w:tabs>
        <w:spacing w:before="0"/>
        <w:ind w:left="320" w:hanging="320"/>
      </w:pPr>
      <w:r>
        <w:t>Anleihen, die nicht bloß zur vorübergehenden Aushilfe dienen und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252" w:line="254" w:lineRule="exact"/>
        <w:ind w:left="320" w:hanging="320"/>
      </w:pPr>
      <w:r>
        <w:t>Anlegung oder Veränderung der Benutzung von Begräbnisplätzen oder der Gebühren</w:t>
      </w:r>
      <w:r>
        <w:softHyphen/>
        <w:t>ordnung für ihre Benutzung.</w:t>
      </w:r>
    </w:p>
    <w:p w:rsidR="00043278" w:rsidRDefault="00EE6ED8">
      <w:pPr>
        <w:pStyle w:val="Heading10"/>
        <w:framePr w:w="9144" w:h="13875" w:hRule="exact" w:wrap="none" w:vAnchor="page" w:hAnchor="page" w:x="1304" w:y="1553"/>
        <w:shd w:val="clear" w:color="auto" w:fill="auto"/>
        <w:spacing w:after="268"/>
        <w:ind w:left="1620"/>
        <w:jc w:val="left"/>
      </w:pPr>
      <w:bookmarkStart w:id="2" w:name="bookmark1"/>
      <w:r>
        <w:t xml:space="preserve">Artikel 7: Fälle, in denen die Beschlüsse des Kirchenvorstandes </w:t>
      </w:r>
      <w:r>
        <w:t>erst durch die Genehmigung der Erzbischöflichen Behörde rechtsgültig werden</w:t>
      </w:r>
      <w:bookmarkEnd w:id="2"/>
    </w:p>
    <w:p w:rsidR="00043278" w:rsidRDefault="00EE6ED8">
      <w:pPr>
        <w:pStyle w:val="Bodytext20"/>
        <w:framePr w:w="9144" w:h="13875" w:hRule="exact" w:wrap="none" w:vAnchor="page" w:hAnchor="page" w:x="1304" w:y="1553"/>
        <w:shd w:val="clear" w:color="auto" w:fill="auto"/>
        <w:spacing w:before="0" w:after="260" w:line="254" w:lineRule="exact"/>
        <w:ind w:right="160" w:firstLine="0"/>
        <w:jc w:val="both"/>
      </w:pPr>
      <w:r>
        <w:t>Die Beschlüsse der Kirchenvorstände und der Vertretungen der Gemeindeverbände bedür</w:t>
      </w:r>
      <w:r>
        <w:softHyphen/>
        <w:t>fen zu ihrer Rechtsgültigkeit der Genehmigung der Erzbischöflichen Behörde: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2"/>
        </w:numPr>
        <w:shd w:val="clear" w:color="auto" w:fill="auto"/>
        <w:tabs>
          <w:tab w:val="left" w:pos="624"/>
        </w:tabs>
        <w:spacing w:before="0" w:line="254" w:lineRule="exact"/>
        <w:ind w:left="320" w:hanging="320"/>
      </w:pPr>
      <w:r>
        <w:t>bei Rechtsgeschäften</w:t>
      </w:r>
      <w:r>
        <w:t xml:space="preserve"> und Rechtsakten ohne Rücksicht auf den Gegenstandswert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254" w:lineRule="exact"/>
        <w:ind w:left="940" w:right="260" w:hanging="280"/>
        <w:jc w:val="both"/>
      </w:pPr>
      <w:r>
        <w:t>Erwerb, Belastung, Veräußerung von Grundstücken und Aufgabe des Eigentums an Grundstücken sowie Erwerb, Änderung, Veräußerung und Aufgabe von Rech</w:t>
      </w:r>
      <w:r>
        <w:softHyphen/>
        <w:t>ten an Grundstücken,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254" w:lineRule="exact"/>
        <w:ind w:left="940" w:hanging="280"/>
      </w:pPr>
      <w:r>
        <w:t>Zustimmung zur Veräußerung, Ände</w:t>
      </w:r>
      <w:r>
        <w:t>rung und Belastung von Rechten Dritter an kirchlichen Grundstücken, insbesondere Erbbaurechten,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0"/>
        </w:tabs>
        <w:spacing w:before="0" w:line="254" w:lineRule="exact"/>
        <w:ind w:left="940" w:right="260" w:hanging="280"/>
        <w:jc w:val="both"/>
      </w:pPr>
      <w:r>
        <w:t>Begründung bauordnungsrechtlicher Baulasten und Zustimmung zu behördlicher Widmung kirchlicher Grundstücksflächen,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54" w:lineRule="exact"/>
        <w:ind w:left="940" w:hanging="280"/>
      </w:pPr>
      <w:r>
        <w:t xml:space="preserve">Annahme von Schenkungen und Zuwendungen, die </w:t>
      </w:r>
      <w:r>
        <w:t>mit einer Verpflichtung belas</w:t>
      </w:r>
      <w:r>
        <w:softHyphen/>
        <w:t>tet sind, sowie Annahme und Ausschlagung von Erbschaften und Vermächtnissen,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54" w:lineRule="exact"/>
        <w:ind w:left="940" w:hanging="280"/>
      </w:pPr>
      <w:r>
        <w:t>Aufnahme von Darlehen, Abgabe von Bürgschafts- und Garantieerklärungen, Übernahme von Fremdverpflichtungen,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54" w:lineRule="exact"/>
        <w:ind w:left="940" w:hanging="280"/>
      </w:pPr>
      <w:r>
        <w:t>Rechtsgeschäfte über Gegenstände, die ein</w:t>
      </w:r>
      <w:r>
        <w:t>en wissenschaftlichen, geschichtlichen und künstlerischen Wert haben, sowie die Aufgabe des Eigentums an diesen Ge</w:t>
      </w:r>
      <w:r>
        <w:softHyphen/>
        <w:t>genständen,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54" w:lineRule="exact"/>
        <w:ind w:left="940" w:hanging="280"/>
        <w:jc w:val="both"/>
      </w:pPr>
      <w:r>
        <w:t>Begründung und Änderung von kirchlichen Beamtenverhältnissen,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54" w:lineRule="exact"/>
        <w:ind w:left="940" w:hanging="280"/>
        <w:jc w:val="both"/>
      </w:pPr>
      <w:r>
        <w:t>Abschluss und vertragliche Änderung von Dienst- und Arbeitsverträge</w:t>
      </w:r>
      <w:r>
        <w:t>n, *)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54" w:lineRule="exact"/>
        <w:ind w:left="940" w:hanging="280"/>
        <w:jc w:val="both"/>
      </w:pPr>
      <w:r>
        <w:t>gerichtliche und außergerichtliche Vergleiche,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54" w:lineRule="exact"/>
        <w:ind w:left="940" w:hanging="280"/>
        <w:jc w:val="both"/>
      </w:pPr>
      <w:r>
        <w:t>Versicherungsverträge, ausgenommen Pflichtversicherungsverträge,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54" w:lineRule="exact"/>
        <w:ind w:left="940" w:hanging="280"/>
      </w:pPr>
      <w:r>
        <w:t>Gestellungsverträge, Beauftragung von Rechtsanwälten, Dienst- und Werkverträge über Architekten- und Ingenieurleistungen sowie Verträge mi</w:t>
      </w:r>
      <w:r>
        <w:t>t bildenden Künstlern,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54" w:lineRule="exact"/>
        <w:ind w:left="940" w:hanging="280"/>
        <w:jc w:val="both"/>
      </w:pPr>
      <w:r>
        <w:t>Abschluss von Reiseverträgen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54" w:lineRule="exact"/>
        <w:ind w:left="940" w:right="260" w:hanging="280"/>
        <w:jc w:val="both"/>
      </w:pPr>
      <w:r>
        <w:t>Gesellschaftsverträge, Erwerb und Veräußerung von Geschäftsanteilen, Begrün</w:t>
      </w:r>
      <w:r>
        <w:softHyphen/>
        <w:t>dung von Vereinsmitgliedschaften und Beteiligungsverträge jeder Art,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54" w:lineRule="exact"/>
        <w:ind w:left="940" w:hanging="280"/>
        <w:jc w:val="both"/>
      </w:pPr>
      <w:r>
        <w:t>Erteilung von Gattungsvollmachten,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54" w:lineRule="exact"/>
        <w:ind w:left="940" w:hanging="280"/>
      </w:pPr>
      <w:r>
        <w:t>Errichtung, Erweiterung,</w:t>
      </w:r>
      <w:r>
        <w:t xml:space="preserve"> Übernahme, Übertragung und Schließung von Einrichtun</w:t>
      </w:r>
      <w:r>
        <w:softHyphen/>
        <w:t>gen, einschließlich Friedhöfen, sowie die vertragliche oder satzungsrechtliche Re</w:t>
      </w:r>
      <w:r>
        <w:softHyphen/>
        <w:t>gelung ihrer Nutzung,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54" w:lineRule="exact"/>
        <w:ind w:left="940" w:right="260" w:hanging="280"/>
        <w:jc w:val="both"/>
      </w:pPr>
      <w:r>
        <w:t>Verträge über Bau- und Kultuslasten sowie entsprechende Geld- und Naturalleis</w:t>
      </w:r>
      <w:r>
        <w:softHyphen/>
        <w:t>tungsansprüche,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54" w:lineRule="exact"/>
        <w:ind w:left="940" w:hanging="280"/>
      </w:pPr>
      <w:r>
        <w:t>Begr</w:t>
      </w:r>
      <w:r>
        <w:t>ündung öffentlich-rechtlicher Verpflichtungen, unbeschadet der unter Nr. 1, Buchstabe c) und g) genannten Verpflichtungstatbestände, insbesondere Erschlie</w:t>
      </w:r>
      <w:r>
        <w:softHyphen/>
        <w:t>ßungsverträge, Kraftfahrzeug-Stellplatzablösungs-Vereinbarungen,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54" w:lineRule="exact"/>
        <w:ind w:left="940" w:hanging="280"/>
      </w:pPr>
      <w:r>
        <w:t xml:space="preserve">Rechtsgeschäfte mit Mitgliedern des </w:t>
      </w:r>
      <w:r>
        <w:t>Kirchenvorstandes und des Pfarrgemeindera- tes, es sei denn, dass das Rechtsgeschäft ausschließlich in der Erfüllung einer Verbindlichkeit besteht,</w:t>
      </w:r>
    </w:p>
    <w:p w:rsidR="00043278" w:rsidRDefault="00EE6ED8">
      <w:pPr>
        <w:pStyle w:val="Bodytext20"/>
        <w:framePr w:w="9144" w:h="13875" w:hRule="exact" w:wrap="none" w:vAnchor="page" w:hAnchor="page" w:x="1304" w:y="1553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54" w:lineRule="exact"/>
        <w:ind w:left="940" w:hanging="280"/>
        <w:jc w:val="both"/>
      </w:pPr>
      <w:r>
        <w:t>Einleitung von Rechtsstreitigkeiten vor staatlichen Gerichten und deren Fortführung in einem weiteren Rechts</w:t>
      </w:r>
      <w:r>
        <w:t>zug, soweit es sich nicht um ein Verfahren des einstweili</w:t>
      </w:r>
      <w:r>
        <w:softHyphen/>
      </w:r>
    </w:p>
    <w:p w:rsidR="00043278" w:rsidRDefault="00043278">
      <w:pPr>
        <w:rPr>
          <w:sz w:val="2"/>
          <w:szCs w:val="2"/>
        </w:rPr>
        <w:sectPr w:rsidR="000432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278" w:rsidRDefault="00EE6ED8">
      <w:pPr>
        <w:pStyle w:val="Other0"/>
        <w:framePr w:wrap="none" w:vAnchor="page" w:hAnchor="page" w:x="5787" w:y="911"/>
        <w:shd w:val="clear" w:color="auto" w:fill="auto"/>
        <w:spacing w:line="220" w:lineRule="exact"/>
        <w:jc w:val="both"/>
      </w:pPr>
      <w:r>
        <w:rPr>
          <w:rStyle w:val="OtherArial11pt"/>
        </w:rPr>
        <w:lastRenderedPageBreak/>
        <w:t>4</w:t>
      </w:r>
    </w:p>
    <w:p w:rsidR="00043278" w:rsidRDefault="00EE6ED8">
      <w:pPr>
        <w:pStyle w:val="Bodytext20"/>
        <w:framePr w:w="9125" w:h="1083" w:hRule="exact" w:wrap="none" w:vAnchor="page" w:hAnchor="page" w:x="1314" w:y="1564"/>
        <w:shd w:val="clear" w:color="auto" w:fill="auto"/>
        <w:tabs>
          <w:tab w:val="left" w:pos="1362"/>
        </w:tabs>
        <w:spacing w:before="0" w:line="274" w:lineRule="exact"/>
        <w:ind w:left="940" w:firstLine="0"/>
        <w:jc w:val="both"/>
      </w:pPr>
      <w:r>
        <w:t>gen Rechtsschutzes handelt; im letzteren Fall ist die Erzbischöfliche Behörde un</w:t>
      </w:r>
      <w:r>
        <w:softHyphen/>
        <w:t>verzüglich zu benachrichtigen.</w:t>
      </w:r>
    </w:p>
    <w:p w:rsidR="00043278" w:rsidRDefault="00EE6ED8">
      <w:pPr>
        <w:pStyle w:val="Bodytext30"/>
        <w:framePr w:w="9125" w:h="1083" w:hRule="exact" w:wrap="none" w:vAnchor="page" w:hAnchor="page" w:x="1314" w:y="1564"/>
        <w:shd w:val="clear" w:color="auto" w:fill="auto"/>
        <w:spacing w:after="0"/>
        <w:ind w:right="180"/>
      </w:pPr>
      <w:r>
        <w:t xml:space="preserve">*) Der diözesanrechtlichen Regelung bleibt es Vorbehalten, </w:t>
      </w:r>
      <w:r>
        <w:t>bestimmte Dienst- und Arbeitsver</w:t>
      </w:r>
      <w:r>
        <w:softHyphen/>
        <w:t>träge von der Genehmigungspflicht freizustellen.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2"/>
        </w:numPr>
        <w:shd w:val="clear" w:color="auto" w:fill="auto"/>
        <w:tabs>
          <w:tab w:val="left" w:pos="782"/>
        </w:tabs>
        <w:spacing w:before="0" w:line="278" w:lineRule="exact"/>
        <w:ind w:left="820" w:hanging="820"/>
      </w:pPr>
      <w:r>
        <w:t>bei Rechtsgeschäften und Rechtsakten mit einem Gegenstandswert von mehr als 15.000,00 Euro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4"/>
        </w:numPr>
        <w:shd w:val="clear" w:color="auto" w:fill="auto"/>
        <w:tabs>
          <w:tab w:val="left" w:pos="1185"/>
        </w:tabs>
        <w:spacing w:before="0"/>
        <w:ind w:left="1100" w:hanging="280"/>
        <w:jc w:val="both"/>
      </w:pPr>
      <w:r>
        <w:t>Schenkungen,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4"/>
        </w:numPr>
        <w:shd w:val="clear" w:color="auto" w:fill="auto"/>
        <w:tabs>
          <w:tab w:val="left" w:pos="1185"/>
        </w:tabs>
        <w:spacing w:before="0"/>
        <w:ind w:left="1100" w:hanging="280"/>
        <w:jc w:val="both"/>
      </w:pPr>
      <w:r>
        <w:t>Gewährung von Darlehen, mit Ausnahme von Einlagen bei Kreditinstituten</w:t>
      </w:r>
      <w:r>
        <w:t>,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4"/>
        </w:numPr>
        <w:shd w:val="clear" w:color="auto" w:fill="auto"/>
        <w:tabs>
          <w:tab w:val="left" w:pos="1185"/>
        </w:tabs>
        <w:spacing w:before="0"/>
        <w:ind w:left="1100" w:hanging="280"/>
        <w:jc w:val="both"/>
      </w:pPr>
      <w:r>
        <w:t>Kauf- und Tauschverträge,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69" w:lineRule="exact"/>
        <w:ind w:left="1100" w:hanging="280"/>
        <w:jc w:val="both"/>
      </w:pPr>
      <w:r>
        <w:t>Erwerb, Belastung und Veräußerung von Wertpapieren und Anteilscheinen,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69" w:lineRule="exact"/>
        <w:ind w:left="1100" w:hanging="280"/>
      </w:pPr>
      <w:r>
        <w:t>Werkverträge mit Ausnahme der unter Nummer 1, Buchstabe k) genannten Ver</w:t>
      </w:r>
      <w:r>
        <w:softHyphen/>
        <w:t>träge,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54" w:lineRule="exact"/>
        <w:ind w:left="1100" w:hanging="280"/>
      </w:pPr>
      <w:r>
        <w:t xml:space="preserve">Geschäftsbesorgungsverträge mit Ausnahme der unter Nummer 1, Buchstabe k) </w:t>
      </w:r>
      <w:r>
        <w:t>genannten Verträge und Treuhandverträge,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4"/>
        </w:numPr>
        <w:shd w:val="clear" w:color="auto" w:fill="auto"/>
        <w:tabs>
          <w:tab w:val="left" w:pos="1190"/>
        </w:tabs>
        <w:spacing w:before="0" w:after="247" w:line="254" w:lineRule="exact"/>
        <w:ind w:left="1100" w:hanging="280"/>
        <w:jc w:val="both"/>
      </w:pPr>
      <w:r>
        <w:t>Abtretung von Forderungen, Schulderlass, Schuldversprechen, Schuldanerkennt</w:t>
      </w:r>
      <w:r>
        <w:softHyphen/>
        <w:t>nisse gemäß §§ 780, 781 BGB, Begründung sonstiger abstrakter Schuldverpflich</w:t>
      </w:r>
      <w:r>
        <w:softHyphen/>
        <w:t>tungen einschließlich wertpapierrechtlicher Verpflichtungen,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2"/>
        </w:numPr>
        <w:shd w:val="clear" w:color="auto" w:fill="auto"/>
        <w:tabs>
          <w:tab w:val="left" w:pos="782"/>
        </w:tabs>
        <w:spacing w:before="0"/>
        <w:ind w:left="820" w:hanging="820"/>
      </w:pPr>
      <w:r>
        <w:t>bei Miet-, Pacht-, Leasing- und Leihverträgen: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shd w:val="clear" w:color="auto" w:fill="auto"/>
        <w:spacing w:before="0" w:after="254" w:line="264" w:lineRule="exact"/>
        <w:ind w:left="820" w:right="180" w:firstLine="0"/>
        <w:jc w:val="both"/>
      </w:pPr>
      <w:r>
        <w:t>Miet-, Pacht-, Leasing- und Leihverträgen, die unbefristet sind oder deren befristete Laufzeit länger als ein Jahr beträgt oder deren Nutzungsentgelt auf das Jahr umge</w:t>
      </w:r>
      <w:r>
        <w:softHyphen/>
        <w:t>rechnet 15.000,00 Euro übersteigt.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2"/>
        </w:numPr>
        <w:shd w:val="clear" w:color="auto" w:fill="auto"/>
        <w:tabs>
          <w:tab w:val="left" w:pos="782"/>
        </w:tabs>
        <w:spacing w:before="0" w:after="233"/>
        <w:ind w:left="820" w:hanging="820"/>
      </w:pPr>
      <w:r>
        <w:t>im Ber</w:t>
      </w:r>
      <w:r>
        <w:t>eich der kirchlichen Krankenhäuser und Heime: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5"/>
        </w:numPr>
        <w:shd w:val="clear" w:color="auto" w:fill="auto"/>
        <w:tabs>
          <w:tab w:val="left" w:pos="1812"/>
        </w:tabs>
        <w:spacing w:before="0" w:line="254" w:lineRule="exact"/>
        <w:ind w:left="1100" w:hanging="280"/>
        <w:jc w:val="both"/>
      </w:pPr>
      <w:r>
        <w:t>ohne Rücksicht auf den Gegenstandswert: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6"/>
        </w:numPr>
        <w:shd w:val="clear" w:color="auto" w:fill="auto"/>
        <w:tabs>
          <w:tab w:val="left" w:pos="2205"/>
        </w:tabs>
        <w:spacing w:before="0" w:line="254" w:lineRule="exact"/>
        <w:ind w:left="2120" w:hanging="280"/>
      </w:pPr>
      <w:r>
        <w:t>alle unter Nr. 1, Buchstabe a) - g) und i) - m), r) und s) genannten Rechtsgeschäfte bzw. Rechtsakte,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6"/>
        </w:numPr>
        <w:shd w:val="clear" w:color="auto" w:fill="auto"/>
        <w:tabs>
          <w:tab w:val="left" w:pos="2205"/>
        </w:tabs>
        <w:spacing w:before="0" w:line="254" w:lineRule="exact"/>
        <w:ind w:left="2120" w:hanging="280"/>
      </w:pPr>
      <w:r>
        <w:t>Abschluss und vertragliche Änderung von Dienst- und Arbeitsverträgen</w:t>
      </w:r>
      <w:r>
        <w:t xml:space="preserve"> mit Mitarbeitern in leitender Stellung, insbesondere mit Chefärzten und leitenden Oberärzten, Verwaltungs-, Heim- und Pflegedienstleitern so</w:t>
      </w:r>
      <w:r>
        <w:softHyphen/>
        <w:t>wie Oberärzten,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6"/>
        </w:numPr>
        <w:shd w:val="clear" w:color="auto" w:fill="auto"/>
        <w:tabs>
          <w:tab w:val="left" w:pos="2205"/>
        </w:tabs>
        <w:spacing w:before="0" w:after="236" w:line="254" w:lineRule="exact"/>
        <w:ind w:left="2120" w:hanging="280"/>
      </w:pPr>
      <w:r>
        <w:t>Belegarztverträge.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5"/>
        </w:numPr>
        <w:shd w:val="clear" w:color="auto" w:fill="auto"/>
        <w:tabs>
          <w:tab w:val="left" w:pos="1812"/>
        </w:tabs>
        <w:spacing w:before="0" w:after="244" w:line="259" w:lineRule="exact"/>
        <w:ind w:left="1840"/>
      </w:pPr>
      <w:r>
        <w:t>mit einem Gegenstandswert von mehr als 150.000,00 Euro alle in Nr. 2 aufgeführt</w:t>
      </w:r>
      <w:r>
        <w:t>en Rechtsgeschäfte und Rechtsakte.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5"/>
        </w:numPr>
        <w:shd w:val="clear" w:color="auto" w:fill="auto"/>
        <w:tabs>
          <w:tab w:val="left" w:pos="1812"/>
        </w:tabs>
        <w:spacing w:before="0" w:after="487" w:line="254" w:lineRule="exact"/>
        <w:ind w:left="1840"/>
      </w:pPr>
      <w:r>
        <w:t>Miet-, Pacht-, Leasing- und Leihverträge, wenn sie unbefristet geschlos</w:t>
      </w:r>
      <w:r>
        <w:softHyphen/>
        <w:t>sen werden, ihre befristete Laufzeit länger als ein Jahr beträgt oder ihr Nutzungsentgelt auf das Jahr berechnet 150.000,00 Euro übersteigt.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numPr>
          <w:ilvl w:val="0"/>
          <w:numId w:val="2"/>
        </w:numPr>
        <w:shd w:val="clear" w:color="auto" w:fill="auto"/>
        <w:tabs>
          <w:tab w:val="left" w:pos="782"/>
        </w:tabs>
        <w:spacing w:before="0"/>
        <w:ind w:left="820" w:hanging="820"/>
      </w:pPr>
      <w:r>
        <w:t>Bestimmu</w:t>
      </w:r>
      <w:r>
        <w:t>ngen des Gegenstandswertes:</w:t>
      </w:r>
    </w:p>
    <w:p w:rsidR="00043278" w:rsidRDefault="00EE6ED8">
      <w:pPr>
        <w:pStyle w:val="Bodytext20"/>
        <w:framePr w:w="9125" w:h="10550" w:hRule="exact" w:wrap="none" w:vAnchor="page" w:hAnchor="page" w:x="1314" w:y="3015"/>
        <w:shd w:val="clear" w:color="auto" w:fill="auto"/>
        <w:spacing w:before="0" w:line="274" w:lineRule="exact"/>
        <w:ind w:left="820" w:right="180" w:firstLine="0"/>
        <w:jc w:val="both"/>
      </w:pPr>
      <w:r>
        <w:t>Für die Bestimmung des Gegenstandswertes gelten in Zweifelsfällen die Vorschrif</w:t>
      </w:r>
      <w:r>
        <w:softHyphen/>
        <w:t>ten der Zivilprozessordnung.</w:t>
      </w:r>
    </w:p>
    <w:p w:rsidR="00043278" w:rsidRDefault="00043278">
      <w:pPr>
        <w:rPr>
          <w:sz w:val="2"/>
          <w:szCs w:val="2"/>
        </w:rPr>
        <w:sectPr w:rsidR="000432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278" w:rsidRDefault="00EE6ED8">
      <w:pPr>
        <w:pStyle w:val="Other0"/>
        <w:framePr w:wrap="none" w:vAnchor="page" w:hAnchor="page" w:x="5804" w:y="638"/>
        <w:shd w:val="clear" w:color="auto" w:fill="auto"/>
        <w:spacing w:line="220" w:lineRule="exact"/>
        <w:jc w:val="both"/>
      </w:pPr>
      <w:r>
        <w:rPr>
          <w:rStyle w:val="OtherArial11pt"/>
        </w:rPr>
        <w:lastRenderedPageBreak/>
        <w:t>5</w:t>
      </w:r>
    </w:p>
    <w:p w:rsidR="00043278" w:rsidRDefault="00EE6ED8">
      <w:pPr>
        <w:pStyle w:val="Bodytext40"/>
        <w:framePr w:w="9130" w:h="9264" w:hRule="exact" w:wrap="none" w:vAnchor="page" w:hAnchor="page" w:x="1311" w:y="1563"/>
        <w:shd w:val="clear" w:color="auto" w:fill="auto"/>
        <w:spacing w:after="254"/>
        <w:ind w:left="60"/>
      </w:pPr>
      <w:r>
        <w:t>Artikel 8: Genehmigung der Erzbischöflichen Behörde in anderen Fällen,</w:t>
      </w:r>
      <w:r>
        <w:br/>
        <w:t xml:space="preserve">sofern nicht besondere </w:t>
      </w:r>
      <w:r>
        <w:t>Regelungen im Bereich der Sondervermögen</w:t>
      </w:r>
      <w:r>
        <w:br/>
        <w:t>der Kirchengemeinden gelten</w:t>
      </w:r>
    </w:p>
    <w:p w:rsidR="00043278" w:rsidRDefault="00EE6ED8">
      <w:pPr>
        <w:pStyle w:val="Bodytext20"/>
        <w:framePr w:w="9130" w:h="9264" w:hRule="exact" w:wrap="none" w:vAnchor="page" w:hAnchor="page" w:x="1311" w:y="1563"/>
        <w:shd w:val="clear" w:color="auto" w:fill="auto"/>
        <w:spacing w:before="0"/>
        <w:ind w:firstLine="0"/>
      </w:pPr>
      <w:r>
        <w:t>Ferner hat der Kirchenvorstand die Genehmigung der Erzbischöflichen Behörde in folgenden</w:t>
      </w:r>
    </w:p>
    <w:p w:rsidR="00043278" w:rsidRDefault="00EE6ED8">
      <w:pPr>
        <w:pStyle w:val="Bodytext20"/>
        <w:framePr w:w="9130" w:h="9264" w:hRule="exact" w:wrap="none" w:vAnchor="page" w:hAnchor="page" w:x="1311" w:y="1563"/>
        <w:shd w:val="clear" w:color="auto" w:fill="auto"/>
        <w:spacing w:before="0" w:line="504" w:lineRule="exact"/>
        <w:ind w:firstLine="0"/>
      </w:pPr>
      <w:r>
        <w:t>Fällen einzuholen: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331"/>
        </w:tabs>
        <w:spacing w:before="0" w:line="504" w:lineRule="exact"/>
        <w:ind w:firstLine="0"/>
      </w:pPr>
      <w:r>
        <w:t>in allen Fällen, in denen die Genehmigung der Staatsbehörde erforderlich ist,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350"/>
        </w:tabs>
        <w:spacing w:before="0" w:line="504" w:lineRule="exact"/>
        <w:ind w:firstLine="0"/>
      </w:pPr>
      <w:r>
        <w:t>bei Verwendung des Kirchenvermögens, soweit die Substanz dadurch angegriffen wird,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350"/>
        </w:tabs>
        <w:spacing w:before="0" w:after="244" w:line="264" w:lineRule="exact"/>
        <w:ind w:left="320" w:hanging="320"/>
      </w:pPr>
      <w:r>
        <w:t>bei Neubauten, Anbauten und erheblichen Wiederherstellungsarbeiten, soweit die Ge</w:t>
      </w:r>
      <w:r>
        <w:softHyphen/>
        <w:t>samtkosten mehr als 15.000,00 € betragen,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350"/>
        </w:tabs>
        <w:spacing w:before="0" w:after="240" w:line="259" w:lineRule="exact"/>
        <w:ind w:left="320" w:hanging="320"/>
      </w:pPr>
      <w:r>
        <w:t>bei Ausmalungen, Beschaffung von Fenstern in Glas</w:t>
      </w:r>
      <w:r>
        <w:t>malerei, Anschaffung von Innenaus</w:t>
      </w:r>
      <w:r>
        <w:softHyphen/>
        <w:t>stattung, insbesondere auch von Altargeräten, Paramenten, Teppichen usw., soweit im Einzelfalle deren Wert 15.000,00 € übersteigt,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350"/>
        </w:tabs>
        <w:spacing w:before="0" w:after="240" w:line="259" w:lineRule="exact"/>
        <w:ind w:left="320" w:hanging="320"/>
      </w:pPr>
      <w:r>
        <w:t>bei Festsetzung des Voranschlages (Haushaltsplanes und der Voranschlagsperiode; letz</w:t>
      </w:r>
      <w:r>
        <w:softHyphen/>
        <w:t>tere d</w:t>
      </w:r>
      <w:r>
        <w:t>arf nicht über drei Jahre ausgedehnt werden),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350"/>
        </w:tabs>
        <w:spacing w:before="0" w:after="40" w:line="259" w:lineRule="exact"/>
        <w:ind w:left="320" w:hanging="320"/>
      </w:pPr>
      <w:r>
        <w:t>bei Verwendung von Kirchenvermögen zu anderen als den bestimmungsgemäßen Zwe</w:t>
      </w:r>
      <w:r>
        <w:softHyphen/>
        <w:t>cken einschließlich der Gewährung von Darlehen, mit Ausnahme von Einlagen bei Kredit</w:t>
      </w:r>
      <w:r>
        <w:softHyphen/>
        <w:t>instituten,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350"/>
        </w:tabs>
        <w:spacing w:before="0" w:line="509" w:lineRule="exact"/>
        <w:ind w:firstLine="0"/>
      </w:pPr>
      <w:r>
        <w:t xml:space="preserve">bei Einführung oder Veränderung von </w:t>
      </w:r>
      <w:r>
        <w:t>Gebühren, die der Kirchengemeinde zufließen,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350"/>
        </w:tabs>
        <w:spacing w:before="0" w:line="509" w:lineRule="exact"/>
        <w:ind w:firstLine="0"/>
      </w:pPr>
      <w:r>
        <w:t>bei Festsetzung oder Veränderung ständiger Gehälter und Ruhegehälter,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350"/>
        </w:tabs>
        <w:spacing w:before="0" w:line="509" w:lineRule="exact"/>
        <w:ind w:firstLine="0"/>
      </w:pPr>
      <w:r>
        <w:t>bei Ausleihung von Darlehen auf Hypothek oder Grundschuld und</w:t>
      </w:r>
    </w:p>
    <w:p w:rsidR="00043278" w:rsidRDefault="00EE6ED8">
      <w:pPr>
        <w:pStyle w:val="Bodytext20"/>
        <w:framePr w:w="9130" w:h="9264" w:hRule="exact" w:wrap="none" w:vAnchor="page" w:hAnchor="page" w:x="1311" w:y="1563"/>
        <w:numPr>
          <w:ilvl w:val="0"/>
          <w:numId w:val="7"/>
        </w:numPr>
        <w:shd w:val="clear" w:color="auto" w:fill="auto"/>
        <w:tabs>
          <w:tab w:val="left" w:pos="451"/>
        </w:tabs>
        <w:spacing w:before="0" w:line="509" w:lineRule="exact"/>
        <w:ind w:firstLine="0"/>
      </w:pPr>
      <w:r>
        <w:t>bei Abnahme der Jahresrechnungen.</w:t>
      </w:r>
    </w:p>
    <w:p w:rsidR="00043278" w:rsidRDefault="00EE6ED8">
      <w:pPr>
        <w:pStyle w:val="Bodytext20"/>
        <w:framePr w:w="9130" w:h="9264" w:hRule="exact" w:wrap="none" w:vAnchor="page" w:hAnchor="page" w:x="1311" w:y="1563"/>
        <w:shd w:val="clear" w:color="auto" w:fill="auto"/>
        <w:spacing w:before="0" w:line="254" w:lineRule="exact"/>
        <w:ind w:firstLine="0"/>
      </w:pPr>
      <w:r>
        <w:t xml:space="preserve">Bei Beantragung der Genehmigung ist in allen </w:t>
      </w:r>
      <w:r>
        <w:t>genehmigungspflichtigen Fällen der betref</w:t>
      </w:r>
      <w:r>
        <w:softHyphen/>
        <w:t>fende Beschluss in Form eines beglaubigten Auszuges aus dem Sitzungsbuch in zweifacher</w:t>
      </w:r>
    </w:p>
    <w:p w:rsidR="00043278" w:rsidRDefault="00EE6ED8">
      <w:pPr>
        <w:pStyle w:val="Bodytext20"/>
        <w:framePr w:w="9130" w:h="9264" w:hRule="exact" w:wrap="none" w:vAnchor="page" w:hAnchor="page" w:x="1311" w:y="1563"/>
        <w:shd w:val="clear" w:color="auto" w:fill="auto"/>
        <w:spacing w:before="0" w:line="254" w:lineRule="exact"/>
        <w:ind w:firstLine="0"/>
      </w:pPr>
      <w:r>
        <w:t>Ausfertigung mit etwaigen zur Prüfung erforderlichen Unterlagen beizufügen.</w:t>
      </w:r>
    </w:p>
    <w:p w:rsidR="00043278" w:rsidRDefault="00EE6ED8">
      <w:pPr>
        <w:pStyle w:val="Heading10"/>
        <w:framePr w:w="9130" w:h="1583" w:hRule="exact" w:wrap="none" w:vAnchor="page" w:hAnchor="page" w:x="1311" w:y="11292"/>
        <w:shd w:val="clear" w:color="auto" w:fill="auto"/>
        <w:spacing w:after="233" w:line="246" w:lineRule="exact"/>
        <w:ind w:left="60" w:firstLine="0"/>
      </w:pPr>
      <w:bookmarkStart w:id="3" w:name="bookmark2"/>
      <w:r>
        <w:t>Artikel 8a: Vorausgenehmigung</w:t>
      </w:r>
      <w:bookmarkEnd w:id="3"/>
    </w:p>
    <w:p w:rsidR="00043278" w:rsidRDefault="00EE6ED8">
      <w:pPr>
        <w:pStyle w:val="Bodytext20"/>
        <w:framePr w:w="9130" w:h="1583" w:hRule="exact" w:wrap="none" w:vAnchor="page" w:hAnchor="page" w:x="1311" w:y="11292"/>
        <w:shd w:val="clear" w:color="auto" w:fill="auto"/>
        <w:spacing w:before="0" w:line="254" w:lineRule="exact"/>
        <w:ind w:firstLine="0"/>
      </w:pPr>
      <w:r>
        <w:t>Die zuständige kirchl</w:t>
      </w:r>
      <w:r>
        <w:t>iche Autorität kann anordnen, unter welchen Voraussetzungen die Ge</w:t>
      </w:r>
      <w:r>
        <w:softHyphen/>
        <w:t>nehmigung der Erzbischöflichen Behörde zu einem der in Artikel 7 und 8 aufgeführten Rechtsgeschäfte oder Rechtsakte vorab erteilt wird (Vorausgenehmigung). Diese Regelung ist im Kirchlichen</w:t>
      </w:r>
      <w:r>
        <w:t xml:space="preserve"> Amtsblatt für die Erzdiözese Paderborn zu veröffentlichen.</w:t>
      </w:r>
    </w:p>
    <w:p w:rsidR="00043278" w:rsidRDefault="00EE6ED8">
      <w:pPr>
        <w:pStyle w:val="Heading10"/>
        <w:framePr w:w="9130" w:h="1603" w:hRule="exact" w:wrap="none" w:vAnchor="page" w:hAnchor="page" w:x="1311" w:y="13337"/>
        <w:shd w:val="clear" w:color="auto" w:fill="auto"/>
        <w:spacing w:after="230" w:line="246" w:lineRule="exact"/>
        <w:ind w:left="60" w:firstLine="0"/>
      </w:pPr>
      <w:bookmarkStart w:id="4" w:name="bookmark3"/>
      <w:r>
        <w:t>Artikel 9: Willenserklärungen und Mitteilungen</w:t>
      </w:r>
      <w:bookmarkEnd w:id="4"/>
    </w:p>
    <w:p w:rsidR="00043278" w:rsidRDefault="00EE6ED8">
      <w:pPr>
        <w:pStyle w:val="Bodytext20"/>
        <w:framePr w:w="9130" w:h="1603" w:hRule="exact" w:wrap="none" w:vAnchor="page" w:hAnchor="page" w:x="1311" w:y="13337"/>
        <w:shd w:val="clear" w:color="auto" w:fill="auto"/>
        <w:spacing w:before="0" w:line="259" w:lineRule="exact"/>
        <w:ind w:firstLine="0"/>
      </w:pPr>
      <w:r>
        <w:t>Willenserklärungen des Kirchenvorstandes müssen vom Vorsitzenden oder seinem Stellver</w:t>
      </w:r>
      <w:r>
        <w:softHyphen/>
        <w:t xml:space="preserve">treter und zwei Mitgliedern schriftlich unter Beidrückung des </w:t>
      </w:r>
      <w:r>
        <w:t>Kirchenvorstandssiegels abge</w:t>
      </w:r>
      <w:r>
        <w:softHyphen/>
        <w:t>geben werden. Bloße Mitteilungen des Kirchenvorstandes sind vom Vorsitzenden zu unter</w:t>
      </w:r>
      <w:r>
        <w:softHyphen/>
        <w:t>schreiben.</w:t>
      </w:r>
    </w:p>
    <w:p w:rsidR="00043278" w:rsidRDefault="00043278">
      <w:pPr>
        <w:rPr>
          <w:sz w:val="2"/>
          <w:szCs w:val="2"/>
        </w:rPr>
      </w:pPr>
    </w:p>
    <w:sectPr w:rsidR="000432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6ED8">
      <w:r>
        <w:separator/>
      </w:r>
    </w:p>
  </w:endnote>
  <w:endnote w:type="continuationSeparator" w:id="0">
    <w:p w:rsidR="00000000" w:rsidRDefault="00EE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78" w:rsidRDefault="00043278"/>
  </w:footnote>
  <w:footnote w:type="continuationSeparator" w:id="0">
    <w:p w:rsidR="00043278" w:rsidRDefault="000432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7096"/>
    <w:multiLevelType w:val="multilevel"/>
    <w:tmpl w:val="EB861E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0793A"/>
    <w:multiLevelType w:val="multilevel"/>
    <w:tmpl w:val="096CD8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591D41"/>
    <w:multiLevelType w:val="multilevel"/>
    <w:tmpl w:val="128265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606AA2"/>
    <w:multiLevelType w:val="multilevel"/>
    <w:tmpl w:val="295026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F01012"/>
    <w:multiLevelType w:val="multilevel"/>
    <w:tmpl w:val="50BEE18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A207A"/>
    <w:multiLevelType w:val="multilevel"/>
    <w:tmpl w:val="1CB6BD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A838BB"/>
    <w:multiLevelType w:val="multilevel"/>
    <w:tmpl w:val="1E8C3F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78"/>
    <w:rsid w:val="00043278"/>
    <w:rsid w:val="00E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B4297-2C37-4EE0-B1A8-C823E4C4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Other">
    <w:name w:val="Other_"/>
    <w:basedOn w:val="Absatz-Standardschriftart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11pt">
    <w:name w:val="Other + Arial;11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Heading1">
    <w:name w:val="Heading #1_"/>
    <w:basedOn w:val="Absatz-Standardschriftar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bsatz-Standardschriftar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Bodytext3">
    <w:name w:val="Body text (3)_"/>
    <w:basedOn w:val="Absatz-Standardschriftar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Absatz-Standardschriftar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Other0">
    <w:name w:val="Other"/>
    <w:basedOn w:val="Standard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Standard"/>
    <w:link w:val="Heading1"/>
    <w:pPr>
      <w:shd w:val="clear" w:color="auto" w:fill="FFFFFF"/>
      <w:spacing w:after="260" w:line="264" w:lineRule="exact"/>
      <w:ind w:hanging="116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Standard"/>
    <w:link w:val="Bodytext2"/>
    <w:pPr>
      <w:shd w:val="clear" w:color="auto" w:fill="FFFFFF"/>
      <w:spacing w:before="260" w:line="246" w:lineRule="exact"/>
      <w:ind w:hanging="102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Standard"/>
    <w:link w:val="Bodytext3"/>
    <w:pPr>
      <w:shd w:val="clear" w:color="auto" w:fill="FFFFFF"/>
      <w:spacing w:after="480" w:line="25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Standard"/>
    <w:link w:val="Bodytext4"/>
    <w:pPr>
      <w:shd w:val="clear" w:color="auto" w:fill="FFFFFF"/>
      <w:spacing w:after="240" w:line="264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Kuepke</dc:creator>
  <cp:lastModifiedBy>Nadine Kuepke</cp:lastModifiedBy>
  <cp:revision>2</cp:revision>
  <dcterms:created xsi:type="dcterms:W3CDTF">2016-06-23T07:10:00Z</dcterms:created>
  <dcterms:modified xsi:type="dcterms:W3CDTF">2016-06-23T07:10:00Z</dcterms:modified>
</cp:coreProperties>
</file>